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C162F" w14:textId="363183F6" w:rsidR="006134C5" w:rsidRPr="006134C5" w:rsidRDefault="006134C5" w:rsidP="006134C5">
      <w:pPr>
        <w:jc w:val="center"/>
        <w:rPr>
          <w:rFonts w:ascii="Calibri" w:hAnsi="Calibri" w:cs="Calibri"/>
          <w:b/>
          <w:bCs/>
          <w:sz w:val="22"/>
          <w:szCs w:val="22"/>
          <w:lang w:val="en-SI"/>
        </w:rPr>
      </w:pPr>
      <w:r w:rsidRPr="00A914FE">
        <w:rPr>
          <w:rFonts w:ascii="Calibri" w:hAnsi="Calibri" w:cs="Calibri"/>
          <w:b/>
          <w:bCs/>
          <w:sz w:val="22"/>
          <w:szCs w:val="22"/>
          <w:lang w:val="en-SI"/>
        </w:rPr>
        <w:t>PUBLICATION ETHICS STATEMENT AND PUBLICATION MALPRACTICE</w:t>
      </w:r>
    </w:p>
    <w:p w14:paraId="2756F372" w14:textId="3A9FCE6E" w:rsidR="006134C5" w:rsidRPr="006134C5" w:rsidRDefault="006134C5" w:rsidP="006134C5">
      <w:pPr>
        <w:jc w:val="both"/>
        <w:rPr>
          <w:rFonts w:ascii="Calibri" w:hAnsi="Calibri" w:cs="Calibri"/>
          <w:sz w:val="22"/>
          <w:szCs w:val="22"/>
          <w:lang w:val="en-SI"/>
        </w:rPr>
      </w:pPr>
      <w:r w:rsidRPr="006134C5">
        <w:rPr>
          <w:rFonts w:ascii="Calibri" w:hAnsi="Calibri" w:cs="Calibri"/>
          <w:sz w:val="22"/>
          <w:szCs w:val="22"/>
          <w:lang w:val="en-SI"/>
        </w:rPr>
        <w:t xml:space="preserve">The journal </w:t>
      </w:r>
      <w:r w:rsidRPr="006134C5">
        <w:rPr>
          <w:rFonts w:ascii="Calibri" w:hAnsi="Calibri" w:cs="Calibri"/>
          <w:i/>
          <w:iCs/>
          <w:sz w:val="22"/>
          <w:szCs w:val="22"/>
          <w:lang w:val="en-SI"/>
        </w:rPr>
        <w:t>Logistics, Supply Chain, Sustainability and Global Challenges</w:t>
      </w:r>
      <w:r w:rsidRPr="006134C5">
        <w:rPr>
          <w:rFonts w:ascii="Calibri" w:hAnsi="Calibri" w:cs="Calibri"/>
          <w:sz w:val="22"/>
          <w:szCs w:val="22"/>
          <w:lang w:val="en-SI"/>
        </w:rPr>
        <w:t xml:space="preserve"> is committed to maintaining high standards of editorial integrity, transparency, and ethical publishing practices. </w:t>
      </w:r>
      <w:r w:rsidR="00A914FE" w:rsidRPr="00A914FE">
        <w:rPr>
          <w:rFonts w:ascii="Calibri" w:hAnsi="Calibri" w:cs="Calibri"/>
          <w:sz w:val="22"/>
          <w:szCs w:val="22"/>
          <w:lang w:val="en-SI"/>
        </w:rPr>
        <w:t>The journal follows the Committee on Publication Ethics (COPE) Core Practices and adheres to internationally recognized guidelines for handling publication ethics and malpractice.</w:t>
      </w:r>
      <w:r w:rsidR="00A914FE" w:rsidRPr="00A914FE">
        <w:rPr>
          <w:rFonts w:ascii="Calibri" w:hAnsi="Calibri" w:cs="Calibri"/>
          <w:sz w:val="22"/>
          <w:szCs w:val="22"/>
          <w:lang w:val="en-SI"/>
        </w:rPr>
        <w:t xml:space="preserve"> </w:t>
      </w:r>
    </w:p>
    <w:p w14:paraId="4DC616C8" w14:textId="574E5862" w:rsidR="006134C5" w:rsidRPr="006134C5" w:rsidRDefault="006134C5" w:rsidP="006134C5">
      <w:pPr>
        <w:jc w:val="both"/>
        <w:rPr>
          <w:rFonts w:ascii="Calibri" w:hAnsi="Calibri" w:cs="Calibri"/>
          <w:sz w:val="22"/>
          <w:szCs w:val="22"/>
          <w:lang w:val="en-SI"/>
        </w:rPr>
      </w:pPr>
      <w:r w:rsidRPr="006134C5">
        <w:rPr>
          <w:rFonts w:ascii="Calibri" w:hAnsi="Calibri" w:cs="Calibri"/>
          <w:sz w:val="22"/>
          <w:szCs w:val="22"/>
          <w:lang w:val="en-SI"/>
        </w:rPr>
        <w:t xml:space="preserve">Editorial Independence and Transparency </w:t>
      </w:r>
    </w:p>
    <w:p w14:paraId="73CF2E80" w14:textId="77777777" w:rsidR="006134C5" w:rsidRPr="00A914FE" w:rsidRDefault="006134C5" w:rsidP="006134C5">
      <w:pPr>
        <w:jc w:val="both"/>
        <w:rPr>
          <w:rFonts w:ascii="Calibri" w:hAnsi="Calibri" w:cs="Calibri"/>
          <w:sz w:val="22"/>
          <w:szCs w:val="22"/>
          <w:lang w:val="en-SI"/>
        </w:rPr>
      </w:pPr>
      <w:r w:rsidRPr="006134C5">
        <w:rPr>
          <w:rFonts w:ascii="Calibri" w:hAnsi="Calibri" w:cs="Calibri"/>
          <w:sz w:val="22"/>
          <w:szCs w:val="22"/>
          <w:lang w:val="en-SI"/>
        </w:rPr>
        <w:t>The journal ensures transparency by providing comprehensive information on its aims and scope, editorial board, peer review procedures, and any applicable author fees. All editorial policies and guidelines are openly available and easily accessible on the journal’s official website.</w:t>
      </w:r>
      <w:r w:rsidRPr="00A914FE">
        <w:rPr>
          <w:rFonts w:ascii="Calibri" w:hAnsi="Calibri" w:cs="Calibri"/>
          <w:sz w:val="22"/>
          <w:szCs w:val="22"/>
          <w:lang w:val="en-SI"/>
        </w:rPr>
        <w:t xml:space="preserve"> </w:t>
      </w:r>
      <w:r w:rsidRPr="00A914FE">
        <w:rPr>
          <w:rFonts w:ascii="Calibri" w:hAnsi="Calibri" w:cs="Calibri"/>
          <w:sz w:val="22"/>
          <w:szCs w:val="22"/>
          <w:lang w:val="en-SI"/>
        </w:rPr>
        <w:t>Publication decisions are based exclusively on the manuscript’s academic merit, relevance to the journal’s scope, originality, and clarity of presentation.</w:t>
      </w:r>
    </w:p>
    <w:p w14:paraId="5439022D" w14:textId="1696F422" w:rsidR="006134C5" w:rsidRPr="00A914FE" w:rsidRDefault="006134C5" w:rsidP="006134C5">
      <w:pPr>
        <w:jc w:val="both"/>
        <w:rPr>
          <w:rFonts w:ascii="Calibri" w:hAnsi="Calibri" w:cs="Calibri"/>
          <w:sz w:val="22"/>
          <w:szCs w:val="22"/>
          <w:lang w:val="en-SI"/>
        </w:rPr>
      </w:pPr>
      <w:r w:rsidRPr="00A914FE">
        <w:rPr>
          <w:rFonts w:ascii="Calibri" w:hAnsi="Calibri" w:cs="Calibri"/>
          <w:sz w:val="22"/>
          <w:szCs w:val="22"/>
          <w:lang w:val="en-SI"/>
        </w:rPr>
        <w:t>Peer Review Process</w:t>
      </w:r>
    </w:p>
    <w:p w14:paraId="6484ACCA" w14:textId="53CD8F2C" w:rsidR="006134C5" w:rsidRPr="006134C5" w:rsidRDefault="006134C5" w:rsidP="006134C5">
      <w:pPr>
        <w:jc w:val="both"/>
        <w:rPr>
          <w:rFonts w:ascii="Calibri" w:hAnsi="Calibri" w:cs="Calibri"/>
          <w:sz w:val="22"/>
          <w:szCs w:val="22"/>
          <w:lang w:val="en-SI"/>
        </w:rPr>
      </w:pPr>
      <w:r w:rsidRPr="00A914FE">
        <w:rPr>
          <w:rFonts w:ascii="Calibri" w:hAnsi="Calibri" w:cs="Calibri"/>
          <w:sz w:val="22"/>
          <w:szCs w:val="22"/>
          <w:lang w:val="en-SI"/>
        </w:rPr>
        <w:t>Logistics, Supply Chain, Sustainability and Global Challenges is a double-blind peer reviewed journal</w:t>
      </w:r>
      <w:r w:rsidRPr="006134C5">
        <w:rPr>
          <w:rFonts w:ascii="Calibri" w:hAnsi="Calibri" w:cs="Calibri"/>
          <w:sz w:val="22"/>
          <w:szCs w:val="22"/>
          <w:lang w:val="en-SI"/>
        </w:rPr>
        <w:t>. All submitted manuscripts undergo an initial editorial screening to assess their alignment with the journal’s scope and to check for plagiarism, followed by an independent peer review conducted by at least two qualified reviewers. Reviewers are selected on the basis of their subject-matter expertise, academic qualifications, and the absence of any conflicts of interest.</w:t>
      </w:r>
    </w:p>
    <w:p w14:paraId="50E5B599" w14:textId="77777777" w:rsidR="006134C5" w:rsidRPr="00A914FE" w:rsidRDefault="006134C5" w:rsidP="006134C5">
      <w:pPr>
        <w:jc w:val="both"/>
        <w:rPr>
          <w:rFonts w:ascii="Calibri" w:hAnsi="Calibri" w:cs="Calibri"/>
          <w:sz w:val="22"/>
          <w:szCs w:val="22"/>
          <w:lang w:val="en-SI"/>
        </w:rPr>
      </w:pPr>
      <w:r w:rsidRPr="006134C5">
        <w:rPr>
          <w:rFonts w:ascii="Calibri" w:hAnsi="Calibri" w:cs="Calibri"/>
          <w:sz w:val="22"/>
          <w:szCs w:val="22"/>
          <w:lang w:val="en-SI"/>
        </w:rPr>
        <w:t>Throughout the editorial and review process, the journal ensures strict confidentiality, objectivity in evaluation, and timely communication of feedback to authors. Any attempt to manipulate or compromise the integrity of the peer review process is considered serious misconduct.</w:t>
      </w:r>
    </w:p>
    <w:p w14:paraId="46394F3A" w14:textId="77777777" w:rsidR="00725B20" w:rsidRPr="00A914FE" w:rsidRDefault="00725B20" w:rsidP="00725B20">
      <w:pPr>
        <w:jc w:val="both"/>
        <w:rPr>
          <w:rFonts w:ascii="Calibri" w:hAnsi="Calibri" w:cs="Calibri"/>
          <w:sz w:val="22"/>
          <w:szCs w:val="22"/>
          <w:lang w:val="en-SI"/>
        </w:rPr>
      </w:pPr>
      <w:r w:rsidRPr="006134C5">
        <w:rPr>
          <w:rFonts w:ascii="Calibri" w:hAnsi="Calibri" w:cs="Calibri"/>
          <w:sz w:val="22"/>
          <w:szCs w:val="22"/>
          <w:lang w:val="en-SI"/>
        </w:rPr>
        <w:t xml:space="preserve">Malpractice and Unethical </w:t>
      </w:r>
      <w:proofErr w:type="spellStart"/>
      <w:r w:rsidRPr="006134C5">
        <w:rPr>
          <w:rFonts w:ascii="Calibri" w:hAnsi="Calibri" w:cs="Calibri"/>
          <w:sz w:val="22"/>
          <w:szCs w:val="22"/>
          <w:lang w:val="en-SI"/>
        </w:rPr>
        <w:t>Behavior</w:t>
      </w:r>
      <w:proofErr w:type="spellEnd"/>
    </w:p>
    <w:p w14:paraId="6C52F978" w14:textId="1C4E1482" w:rsidR="00725B20" w:rsidRPr="006134C5" w:rsidRDefault="00725B20" w:rsidP="006134C5">
      <w:pPr>
        <w:jc w:val="both"/>
        <w:rPr>
          <w:rFonts w:ascii="Calibri" w:hAnsi="Calibri" w:cs="Calibri"/>
          <w:sz w:val="22"/>
          <w:szCs w:val="22"/>
          <w:lang w:val="en-SI"/>
        </w:rPr>
      </w:pPr>
      <w:r w:rsidRPr="00725B20">
        <w:rPr>
          <w:rFonts w:ascii="Calibri" w:hAnsi="Calibri" w:cs="Calibri"/>
          <w:sz w:val="22"/>
          <w:szCs w:val="22"/>
          <w:lang w:val="en-SI"/>
        </w:rPr>
        <w:t>Plagiarism, including self-plagiarism without proper disclosure, is considered a serious ethical violation. The fabrication or falsification of data, such as manipulating results or creating false information, is strictly prohibited. Citation manipulation, including the use of excessive or irrelevant references intended to artificially inflate citation metrics, is also regarded as unethical. Authors must disclose any potential conflicts of interest, and failure to do so constitutes misconduct. Any attempt to manipulate the peer review process, such as using fake reviewer identities or engaging in coercive citation practices, is unacceptable. Furthermore, the journal strictly rejects predatory publishing practices, including hidden fees, misleading claims about indexing, and a lack of transparency in editorial processes.</w:t>
      </w:r>
    </w:p>
    <w:p w14:paraId="4EFBEEDC" w14:textId="1654F036" w:rsidR="006134C5" w:rsidRPr="00A914FE" w:rsidRDefault="006134C5" w:rsidP="006134C5">
      <w:pPr>
        <w:jc w:val="both"/>
        <w:rPr>
          <w:rFonts w:ascii="Calibri" w:hAnsi="Calibri" w:cs="Calibri"/>
          <w:b/>
          <w:bCs/>
          <w:sz w:val="22"/>
          <w:szCs w:val="22"/>
          <w:lang w:val="en-SI"/>
        </w:rPr>
      </w:pPr>
      <w:r w:rsidRPr="00A914FE">
        <w:rPr>
          <w:rFonts w:ascii="Calibri" w:hAnsi="Calibri" w:cs="Calibri"/>
          <w:b/>
          <w:bCs/>
          <w:sz w:val="22"/>
          <w:szCs w:val="22"/>
          <w:lang w:val="en-SI"/>
        </w:rPr>
        <w:t>Responsibilities of Authors</w:t>
      </w:r>
    </w:p>
    <w:p w14:paraId="61B736E9" w14:textId="69D336F6"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Originality and Plagiarism</w:t>
      </w:r>
    </w:p>
    <w:p w14:paraId="4CC270B8" w14:textId="58F4D531"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 xml:space="preserve">Manuscripts submitted to the journal must be original, unpublished, and not under consideration elsewhere. All submissions are subject to screening </w:t>
      </w:r>
      <w:proofErr w:type="spellStart"/>
      <w:r w:rsidRPr="00A914FE">
        <w:rPr>
          <w:rFonts w:ascii="Calibri" w:hAnsi="Calibri" w:cs="Calibri"/>
          <w:sz w:val="22"/>
          <w:szCs w:val="22"/>
          <w:lang w:val="en-SI"/>
        </w:rPr>
        <w:t>iThenticate</w:t>
      </w:r>
      <w:proofErr w:type="spellEnd"/>
      <w:r w:rsidRPr="00A914FE">
        <w:rPr>
          <w:rFonts w:ascii="Calibri" w:hAnsi="Calibri" w:cs="Calibri"/>
          <w:sz w:val="22"/>
          <w:szCs w:val="22"/>
          <w:lang w:val="en-SI"/>
        </w:rPr>
        <w:t xml:space="preserve"> – Similarity check </w:t>
      </w:r>
      <w:r w:rsidRPr="00A914FE">
        <w:rPr>
          <w:rFonts w:ascii="Calibri" w:hAnsi="Calibri" w:cs="Calibri"/>
          <w:sz w:val="22"/>
          <w:szCs w:val="22"/>
          <w:lang w:val="en-SI"/>
        </w:rPr>
        <w:t>plagiarism detection software to ensure academic integrity. Authors are required to provide proper citation and acknowledgment for all sources and referenced work.</w:t>
      </w:r>
    </w:p>
    <w:p w14:paraId="5A6B2825" w14:textId="43A39ABB"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Data Transparency and Reproducibility</w:t>
      </w:r>
    </w:p>
    <w:p w14:paraId="5BF00375" w14:textId="77777777"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lastRenderedPageBreak/>
        <w:t>Authors are expected to present accurate, reliable, and verifiable data. Where possible, they are encouraged to provide access to datasets or supplementary materials and ensure that their research methods and results are sufficiently detailed to allow reproducibility.</w:t>
      </w:r>
    </w:p>
    <w:p w14:paraId="21C18E8D" w14:textId="7673E148"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Multiple Submission and Redundant Publication</w:t>
      </w:r>
    </w:p>
    <w:p w14:paraId="1986720B" w14:textId="77777777"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Simultaneous submission of the same manuscript to multiple journals is strictly prohibited. Any prior publication or overlapping content must be clearly disclosed at the time of submission.</w:t>
      </w:r>
    </w:p>
    <w:p w14:paraId="55D1DA06" w14:textId="56966FD4"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Authorship and Contribution Transparency</w:t>
      </w:r>
    </w:p>
    <w:p w14:paraId="6EA603B3" w14:textId="77777777"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All listed authors must meet established authorship criteria and have made significant contributions to the research. The journal encourages the use of a Contributor Roles (</w:t>
      </w:r>
      <w:proofErr w:type="spellStart"/>
      <w:r w:rsidRPr="00A914FE">
        <w:rPr>
          <w:rFonts w:ascii="Calibri" w:hAnsi="Calibri" w:cs="Calibri"/>
          <w:sz w:val="22"/>
          <w:szCs w:val="22"/>
          <w:lang w:val="en-SI"/>
        </w:rPr>
        <w:t>CRediT</w:t>
      </w:r>
      <w:proofErr w:type="spellEnd"/>
      <w:r w:rsidRPr="00A914FE">
        <w:rPr>
          <w:rFonts w:ascii="Calibri" w:hAnsi="Calibri" w:cs="Calibri"/>
          <w:sz w:val="22"/>
          <w:szCs w:val="22"/>
          <w:lang w:val="en-SI"/>
        </w:rPr>
        <w:t>) statement to clearly define each author’s role. Ghost, guest, or honorary authorship is not permitted.</w:t>
      </w:r>
    </w:p>
    <w:p w14:paraId="71E8DCF7" w14:textId="644D0EC6"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Disclosure of Conflicts of Interest</w:t>
      </w:r>
    </w:p>
    <w:p w14:paraId="0D71E226" w14:textId="77777777"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Authors must disclose any potential conflicts of interest, including financial relationships, institutional affiliations, or personal interests that could influence the research outcomes or interpretation.</w:t>
      </w:r>
    </w:p>
    <w:p w14:paraId="64FD8D5D" w14:textId="7B3CBE4F"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Ethical Research and Sustainability Considerations</w:t>
      </w:r>
    </w:p>
    <w:p w14:paraId="58CE14CA" w14:textId="27DC7BCC" w:rsidR="006134C5"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 xml:space="preserve">In line with the journal’s focus, authors must ensure that their research adheres to relevant ethical standards as well as environmental and sustainability principles. </w:t>
      </w:r>
    </w:p>
    <w:p w14:paraId="4746C31C" w14:textId="77777777"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Fundamental errors in published works</w:t>
      </w:r>
    </w:p>
    <w:p w14:paraId="4F10DD32" w14:textId="77777777" w:rsidR="00747A74" w:rsidRPr="00A914FE" w:rsidRDefault="00747A74" w:rsidP="006134C5">
      <w:pPr>
        <w:rPr>
          <w:rFonts w:ascii="Calibri" w:hAnsi="Calibri" w:cs="Calibri"/>
          <w:sz w:val="22"/>
          <w:szCs w:val="22"/>
          <w:lang w:val="en-SI"/>
        </w:rPr>
      </w:pPr>
      <w:r w:rsidRPr="00A914FE">
        <w:rPr>
          <w:rFonts w:ascii="Calibri" w:hAnsi="Calibri" w:cs="Calibri"/>
          <w:sz w:val="22"/>
          <w:szCs w:val="22"/>
          <w:lang w:val="en-SI"/>
        </w:rPr>
        <w:t>If an author identifies a significant error or inaccuracy in their published work, they are responsible for promptly informing the journal’s editor or publisher and cooperating fully to correct the issue, either through retraction of the article or the publication of an appropriate erratum.</w:t>
      </w:r>
    </w:p>
    <w:p w14:paraId="6473CC2B" w14:textId="509C0C03" w:rsidR="00747A74" w:rsidRPr="00A914FE" w:rsidRDefault="00747A74" w:rsidP="00747A74">
      <w:pPr>
        <w:jc w:val="both"/>
        <w:rPr>
          <w:rFonts w:ascii="Calibri" w:hAnsi="Calibri" w:cs="Calibri"/>
          <w:b/>
          <w:bCs/>
          <w:sz w:val="22"/>
          <w:szCs w:val="22"/>
          <w:lang w:val="en-SI"/>
        </w:rPr>
      </w:pPr>
      <w:r w:rsidRPr="00A914FE">
        <w:rPr>
          <w:rFonts w:ascii="Calibri" w:hAnsi="Calibri" w:cs="Calibri"/>
          <w:b/>
          <w:bCs/>
          <w:sz w:val="22"/>
          <w:szCs w:val="22"/>
          <w:lang w:val="en-SI"/>
        </w:rPr>
        <w:t>Responsibilities of Editors</w:t>
      </w:r>
    </w:p>
    <w:p w14:paraId="3194B37E" w14:textId="06332645"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Fair and Unbiased Decision-Making</w:t>
      </w:r>
    </w:p>
    <w:p w14:paraId="30B6B9B2" w14:textId="77777777"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Editors assess submitted manuscripts solely on the basis of their academic merit, relevance to the fields of logistics, supply chain, sustainability, and global challenges, as well as their methodological rigor. Any form of discrimination based on nationality, gender, institutional affiliation, or political beliefs is strictly prohibited.</w:t>
      </w:r>
    </w:p>
    <w:p w14:paraId="6CFEC218" w14:textId="734FE79A"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Confidentiality</w:t>
      </w:r>
    </w:p>
    <w:p w14:paraId="04690A29" w14:textId="77777777"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Editors are responsible for maintaining the confidentiality of all submitted manuscripts. They must ensure that manuscript content and related information are not disclosed to unauthorized parties and that unpublished materials are not used for personal or professional advantage.</w:t>
      </w:r>
    </w:p>
    <w:p w14:paraId="4CB768B0" w14:textId="5B74E42C" w:rsidR="00747A74" w:rsidRPr="00A914FE" w:rsidRDefault="00747A74" w:rsidP="00747A74">
      <w:pPr>
        <w:jc w:val="both"/>
        <w:rPr>
          <w:rFonts w:ascii="Calibri" w:hAnsi="Calibri" w:cs="Calibri"/>
          <w:sz w:val="22"/>
          <w:szCs w:val="22"/>
          <w:lang w:val="en-SI"/>
        </w:rPr>
      </w:pPr>
      <w:r w:rsidRPr="00A914FE">
        <w:rPr>
          <w:rFonts w:ascii="Calibri" w:hAnsi="Calibri" w:cs="Calibri"/>
          <w:sz w:val="22"/>
          <w:szCs w:val="22"/>
          <w:lang w:val="en-SI"/>
        </w:rPr>
        <w:t>Conflict of Interest</w:t>
      </w:r>
    </w:p>
    <w:p w14:paraId="1CFC2D1F" w14:textId="490F1843" w:rsidR="00725B20" w:rsidRPr="00A914FE" w:rsidRDefault="00747A74" w:rsidP="00747A74">
      <w:pPr>
        <w:rPr>
          <w:rFonts w:ascii="Calibri" w:hAnsi="Calibri" w:cs="Calibri"/>
          <w:sz w:val="22"/>
          <w:szCs w:val="22"/>
          <w:lang w:val="en-SI"/>
        </w:rPr>
      </w:pPr>
      <w:r w:rsidRPr="00A914FE">
        <w:rPr>
          <w:rFonts w:ascii="Calibri" w:hAnsi="Calibri" w:cs="Calibri"/>
          <w:sz w:val="22"/>
          <w:szCs w:val="22"/>
          <w:lang w:val="en-SI"/>
        </w:rPr>
        <w:t>Editors must avoid handling manuscripts in which they have any conflict of interest. In such cases, they are required to recuse themselves and assign the manuscript to an alternative editor to ensure an impartial evaluation process.</w:t>
      </w:r>
    </w:p>
    <w:p w14:paraId="07D23969" w14:textId="0CC051CF" w:rsidR="00725B20" w:rsidRPr="00A914FE" w:rsidRDefault="00725B20" w:rsidP="00725B20">
      <w:pPr>
        <w:jc w:val="both"/>
        <w:rPr>
          <w:rFonts w:ascii="Calibri" w:hAnsi="Calibri" w:cs="Calibri"/>
          <w:b/>
          <w:bCs/>
          <w:sz w:val="22"/>
          <w:szCs w:val="22"/>
          <w:lang w:val="en-SI"/>
        </w:rPr>
      </w:pPr>
      <w:r w:rsidRPr="006134C5">
        <w:rPr>
          <w:rFonts w:ascii="Calibri" w:hAnsi="Calibri" w:cs="Calibri"/>
          <w:b/>
          <w:bCs/>
          <w:sz w:val="22"/>
          <w:szCs w:val="22"/>
          <w:lang w:val="en-SI"/>
        </w:rPr>
        <w:t>Responsibilities of Reviewers</w:t>
      </w:r>
    </w:p>
    <w:p w14:paraId="3323626A"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lastRenderedPageBreak/>
        <w:t>Contribution to Editorial Decisions</w:t>
      </w:r>
    </w:p>
    <w:p w14:paraId="6F835A17"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Peer review plays a vital role in supporting editorial decisions. Through constructive feedback provided during the review process, reviewers also contribute to improving the quality and clarity of the manuscript.</w:t>
      </w:r>
    </w:p>
    <w:p w14:paraId="1D241F8A"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Promptness</w:t>
      </w:r>
    </w:p>
    <w:p w14:paraId="0DDABC4A"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Reviewers who feel unqualified to evaluate a manuscript or anticipate being unable to complete the review within the required timeframe should promptly notify the editor so that alternative reviewers can be assigned.</w:t>
      </w:r>
    </w:p>
    <w:p w14:paraId="1B761D7B"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Confidentiality</w:t>
      </w:r>
    </w:p>
    <w:p w14:paraId="1D55ACCF"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All manuscripts received for review must be treated as confidential documents. Reviewers must not share, discuss, or disclose any part of the manuscript to others unless explicitly authorized by the editor.</w:t>
      </w:r>
    </w:p>
    <w:p w14:paraId="7AD352B8"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Standards of Objectivity</w:t>
      </w:r>
    </w:p>
    <w:p w14:paraId="18194EAA"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Reviews should be conducted in an objective and professional manner. Personal criticism of the author is inappropriate. Reviewers are expected to provide clear, constructive feedback supported by relevant arguments and evidence.</w:t>
      </w:r>
    </w:p>
    <w:p w14:paraId="1DEB7FF0"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Acknowledgment of Sources</w:t>
      </w:r>
    </w:p>
    <w:p w14:paraId="6E97EC28"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Reviewers should identify relevant published work that has not been cited by the authors. Any previously reported observations, derivations, or arguments should be accompanied by appropriate citations. Reviewers should also inform the editor of any substantial similarity or overlap between the manuscript under review and other published work known to them.</w:t>
      </w:r>
    </w:p>
    <w:p w14:paraId="554BAFCB" w14:textId="77777777"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Disclosure and Conflict of Interest</w:t>
      </w:r>
    </w:p>
    <w:p w14:paraId="4360D047" w14:textId="53A3E2ED" w:rsidR="00725B20" w:rsidRPr="00A914FE" w:rsidRDefault="00725B20" w:rsidP="00725B20">
      <w:pPr>
        <w:jc w:val="both"/>
        <w:rPr>
          <w:rFonts w:ascii="Calibri" w:hAnsi="Calibri" w:cs="Calibri"/>
          <w:sz w:val="22"/>
          <w:szCs w:val="22"/>
          <w:lang w:val="en-SI"/>
        </w:rPr>
      </w:pPr>
      <w:r w:rsidRPr="00A914FE">
        <w:rPr>
          <w:rFonts w:ascii="Calibri" w:hAnsi="Calibri" w:cs="Calibri"/>
          <w:sz w:val="22"/>
          <w:szCs w:val="22"/>
          <w:lang w:val="en-SI"/>
        </w:rPr>
        <w:t>Information and ideas obtained during the peer review process must remain confidential and must not be used for personal advantage. Reviewers should decline to review manuscripts in which they have conflicts of interest arising from competitive, collaborative, or other relationships with the authors, institutions, or organizations associated with the submission.</w:t>
      </w:r>
    </w:p>
    <w:p w14:paraId="55B0943B" w14:textId="77777777" w:rsidR="00725B20" w:rsidRPr="00A914FE" w:rsidRDefault="00725B20" w:rsidP="00725B20">
      <w:pPr>
        <w:jc w:val="both"/>
        <w:rPr>
          <w:rFonts w:ascii="Calibri" w:hAnsi="Calibri" w:cs="Calibri"/>
          <w:sz w:val="22"/>
          <w:szCs w:val="22"/>
          <w:lang w:val="en-SI"/>
        </w:rPr>
      </w:pPr>
    </w:p>
    <w:p w14:paraId="1F4AE503" w14:textId="77777777" w:rsidR="006A2B14" w:rsidRPr="00A914FE" w:rsidRDefault="006A2B14">
      <w:pPr>
        <w:rPr>
          <w:rFonts w:ascii="Calibri" w:hAnsi="Calibri" w:cs="Calibri"/>
          <w:sz w:val="22"/>
          <w:szCs w:val="22"/>
        </w:rPr>
      </w:pPr>
    </w:p>
    <w:sectPr w:rsidR="006A2B14" w:rsidRPr="00A914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73C"/>
    <w:multiLevelType w:val="multilevel"/>
    <w:tmpl w:val="7D583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B5E46"/>
    <w:multiLevelType w:val="multilevel"/>
    <w:tmpl w:val="C616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604F5"/>
    <w:multiLevelType w:val="multilevel"/>
    <w:tmpl w:val="BD8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60328"/>
    <w:multiLevelType w:val="multilevel"/>
    <w:tmpl w:val="976E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B6270"/>
    <w:multiLevelType w:val="multilevel"/>
    <w:tmpl w:val="503A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F1894"/>
    <w:multiLevelType w:val="multilevel"/>
    <w:tmpl w:val="1E2C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226163"/>
    <w:multiLevelType w:val="multilevel"/>
    <w:tmpl w:val="C4F2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C1E87"/>
    <w:multiLevelType w:val="multilevel"/>
    <w:tmpl w:val="B90A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153AB"/>
    <w:multiLevelType w:val="multilevel"/>
    <w:tmpl w:val="0E9E2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63F20"/>
    <w:multiLevelType w:val="multilevel"/>
    <w:tmpl w:val="025E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01514"/>
    <w:multiLevelType w:val="multilevel"/>
    <w:tmpl w:val="A7CA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DC2D89"/>
    <w:multiLevelType w:val="multilevel"/>
    <w:tmpl w:val="1AA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906A5"/>
    <w:multiLevelType w:val="multilevel"/>
    <w:tmpl w:val="34D6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D63089"/>
    <w:multiLevelType w:val="multilevel"/>
    <w:tmpl w:val="6954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925E48"/>
    <w:multiLevelType w:val="multilevel"/>
    <w:tmpl w:val="5AD4F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921AAA"/>
    <w:multiLevelType w:val="multilevel"/>
    <w:tmpl w:val="48D6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C46BBB"/>
    <w:multiLevelType w:val="multilevel"/>
    <w:tmpl w:val="48D0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5911F8"/>
    <w:multiLevelType w:val="multilevel"/>
    <w:tmpl w:val="073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22E19"/>
    <w:multiLevelType w:val="multilevel"/>
    <w:tmpl w:val="6624F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31D46"/>
    <w:multiLevelType w:val="multilevel"/>
    <w:tmpl w:val="72B2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625FA0"/>
    <w:multiLevelType w:val="multilevel"/>
    <w:tmpl w:val="A924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164BCF"/>
    <w:multiLevelType w:val="multilevel"/>
    <w:tmpl w:val="2918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D24EF1"/>
    <w:multiLevelType w:val="multilevel"/>
    <w:tmpl w:val="7B6E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AC6982"/>
    <w:multiLevelType w:val="multilevel"/>
    <w:tmpl w:val="DEE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E00F8F"/>
    <w:multiLevelType w:val="multilevel"/>
    <w:tmpl w:val="0810C2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70384F"/>
    <w:multiLevelType w:val="multilevel"/>
    <w:tmpl w:val="D71CE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6AB6201"/>
    <w:multiLevelType w:val="multilevel"/>
    <w:tmpl w:val="FDC4D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584442">
    <w:abstractNumId w:val="25"/>
  </w:num>
  <w:num w:numId="2" w16cid:durableId="473379545">
    <w:abstractNumId w:val="5"/>
  </w:num>
  <w:num w:numId="3" w16cid:durableId="116145898">
    <w:abstractNumId w:val="26"/>
  </w:num>
  <w:num w:numId="4" w16cid:durableId="426000658">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751583936">
    <w:abstractNumId w:val="20"/>
  </w:num>
  <w:num w:numId="6" w16cid:durableId="1036734370">
    <w:abstractNumId w:val="18"/>
  </w:num>
  <w:num w:numId="7" w16cid:durableId="389574509">
    <w:abstractNumId w:val="15"/>
  </w:num>
  <w:num w:numId="8" w16cid:durableId="2007006139">
    <w:abstractNumId w:val="21"/>
  </w:num>
  <w:num w:numId="9" w16cid:durableId="920413304">
    <w:abstractNumId w:val="0"/>
  </w:num>
  <w:num w:numId="10" w16cid:durableId="1412459455">
    <w:abstractNumId w:val="2"/>
  </w:num>
  <w:num w:numId="11" w16cid:durableId="960191428">
    <w:abstractNumId w:val="17"/>
  </w:num>
  <w:num w:numId="12" w16cid:durableId="2091853426">
    <w:abstractNumId w:val="11"/>
  </w:num>
  <w:num w:numId="13" w16cid:durableId="1481118365">
    <w:abstractNumId w:val="9"/>
  </w:num>
  <w:num w:numId="14" w16cid:durableId="1991211534">
    <w:abstractNumId w:val="13"/>
  </w:num>
  <w:num w:numId="15" w16cid:durableId="997920633">
    <w:abstractNumId w:val="10"/>
  </w:num>
  <w:num w:numId="16" w16cid:durableId="361983569">
    <w:abstractNumId w:val="12"/>
  </w:num>
  <w:num w:numId="17" w16cid:durableId="1160465761">
    <w:abstractNumId w:val="23"/>
  </w:num>
  <w:num w:numId="18" w16cid:durableId="1792047060">
    <w:abstractNumId w:val="16"/>
  </w:num>
  <w:num w:numId="19" w16cid:durableId="2010717056">
    <w:abstractNumId w:val="19"/>
  </w:num>
  <w:num w:numId="20" w16cid:durableId="1371684997">
    <w:abstractNumId w:val="6"/>
  </w:num>
  <w:num w:numId="21" w16cid:durableId="613176963">
    <w:abstractNumId w:val="24"/>
  </w:num>
  <w:num w:numId="22" w16cid:durableId="663243884">
    <w:abstractNumId w:val="7"/>
  </w:num>
  <w:num w:numId="23" w16cid:durableId="1654066080">
    <w:abstractNumId w:val="3"/>
  </w:num>
  <w:num w:numId="24" w16cid:durableId="2109620292">
    <w:abstractNumId w:val="8"/>
  </w:num>
  <w:num w:numId="25" w16cid:durableId="1418091551">
    <w:abstractNumId w:val="14"/>
  </w:num>
  <w:num w:numId="26" w16cid:durableId="58672419">
    <w:abstractNumId w:val="22"/>
  </w:num>
  <w:num w:numId="27" w16cid:durableId="1620912110">
    <w:abstractNumId w:val="4"/>
  </w:num>
  <w:num w:numId="28" w16cid:durableId="169615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C5"/>
    <w:rsid w:val="00310D1C"/>
    <w:rsid w:val="006134C5"/>
    <w:rsid w:val="006A2B14"/>
    <w:rsid w:val="00725B20"/>
    <w:rsid w:val="00747A74"/>
    <w:rsid w:val="00A914FE"/>
    <w:rsid w:val="00AB373F"/>
    <w:rsid w:val="00E74AA3"/>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511B"/>
  <w15:chartTrackingRefBased/>
  <w15:docId w15:val="{E411A13A-A7D5-4981-82E9-1C5ED325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3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34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34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34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3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3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3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3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3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3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4C5"/>
    <w:rPr>
      <w:rFonts w:eastAsiaTheme="majorEastAsia" w:cstheme="majorBidi"/>
      <w:color w:val="272727" w:themeColor="text1" w:themeTint="D8"/>
    </w:rPr>
  </w:style>
  <w:style w:type="paragraph" w:styleId="Title">
    <w:name w:val="Title"/>
    <w:basedOn w:val="Normal"/>
    <w:next w:val="Normal"/>
    <w:link w:val="TitleChar"/>
    <w:uiPriority w:val="10"/>
    <w:qFormat/>
    <w:rsid w:val="00613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4C5"/>
    <w:pPr>
      <w:spacing w:before="160"/>
      <w:jc w:val="center"/>
    </w:pPr>
    <w:rPr>
      <w:i/>
      <w:iCs/>
      <w:color w:val="404040" w:themeColor="text1" w:themeTint="BF"/>
    </w:rPr>
  </w:style>
  <w:style w:type="character" w:customStyle="1" w:styleId="QuoteChar">
    <w:name w:val="Quote Char"/>
    <w:basedOn w:val="DefaultParagraphFont"/>
    <w:link w:val="Quote"/>
    <w:uiPriority w:val="29"/>
    <w:rsid w:val="006134C5"/>
    <w:rPr>
      <w:i/>
      <w:iCs/>
      <w:color w:val="404040" w:themeColor="text1" w:themeTint="BF"/>
    </w:rPr>
  </w:style>
  <w:style w:type="paragraph" w:styleId="ListParagraph">
    <w:name w:val="List Paragraph"/>
    <w:basedOn w:val="Normal"/>
    <w:uiPriority w:val="34"/>
    <w:qFormat/>
    <w:rsid w:val="006134C5"/>
    <w:pPr>
      <w:ind w:left="720"/>
      <w:contextualSpacing/>
    </w:pPr>
  </w:style>
  <w:style w:type="character" w:styleId="IntenseEmphasis">
    <w:name w:val="Intense Emphasis"/>
    <w:basedOn w:val="DefaultParagraphFont"/>
    <w:uiPriority w:val="21"/>
    <w:qFormat/>
    <w:rsid w:val="006134C5"/>
    <w:rPr>
      <w:i/>
      <w:iCs/>
      <w:color w:val="0F4761" w:themeColor="accent1" w:themeShade="BF"/>
    </w:rPr>
  </w:style>
  <w:style w:type="paragraph" w:styleId="IntenseQuote">
    <w:name w:val="Intense Quote"/>
    <w:basedOn w:val="Normal"/>
    <w:next w:val="Normal"/>
    <w:link w:val="IntenseQuoteChar"/>
    <w:uiPriority w:val="30"/>
    <w:qFormat/>
    <w:rsid w:val="00613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34C5"/>
    <w:rPr>
      <w:i/>
      <w:iCs/>
      <w:color w:val="0F4761" w:themeColor="accent1" w:themeShade="BF"/>
    </w:rPr>
  </w:style>
  <w:style w:type="character" w:styleId="IntenseReference">
    <w:name w:val="Intense Reference"/>
    <w:basedOn w:val="DefaultParagraphFont"/>
    <w:uiPriority w:val="32"/>
    <w:qFormat/>
    <w:rsid w:val="006134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9342">
      <w:bodyDiv w:val="1"/>
      <w:marLeft w:val="0"/>
      <w:marRight w:val="0"/>
      <w:marTop w:val="0"/>
      <w:marBottom w:val="0"/>
      <w:divBdr>
        <w:top w:val="none" w:sz="0" w:space="0" w:color="auto"/>
        <w:left w:val="none" w:sz="0" w:space="0" w:color="auto"/>
        <w:bottom w:val="none" w:sz="0" w:space="0" w:color="auto"/>
        <w:right w:val="none" w:sz="0" w:space="0" w:color="auto"/>
      </w:divBdr>
      <w:divsChild>
        <w:div w:id="1850294593">
          <w:marLeft w:val="0"/>
          <w:marRight w:val="0"/>
          <w:marTop w:val="0"/>
          <w:marBottom w:val="0"/>
          <w:divBdr>
            <w:top w:val="none" w:sz="0" w:space="0" w:color="auto"/>
            <w:left w:val="none" w:sz="0" w:space="0" w:color="auto"/>
            <w:bottom w:val="none" w:sz="0" w:space="0" w:color="auto"/>
            <w:right w:val="none" w:sz="0" w:space="0" w:color="auto"/>
          </w:divBdr>
        </w:div>
      </w:divsChild>
    </w:div>
    <w:div w:id="115880807">
      <w:bodyDiv w:val="1"/>
      <w:marLeft w:val="0"/>
      <w:marRight w:val="0"/>
      <w:marTop w:val="0"/>
      <w:marBottom w:val="0"/>
      <w:divBdr>
        <w:top w:val="none" w:sz="0" w:space="0" w:color="auto"/>
        <w:left w:val="none" w:sz="0" w:space="0" w:color="auto"/>
        <w:bottom w:val="none" w:sz="0" w:space="0" w:color="auto"/>
        <w:right w:val="none" w:sz="0" w:space="0" w:color="auto"/>
      </w:divBdr>
      <w:divsChild>
        <w:div w:id="540945164">
          <w:marLeft w:val="0"/>
          <w:marRight w:val="0"/>
          <w:marTop w:val="0"/>
          <w:marBottom w:val="0"/>
          <w:divBdr>
            <w:top w:val="none" w:sz="0" w:space="0" w:color="auto"/>
            <w:left w:val="none" w:sz="0" w:space="0" w:color="auto"/>
            <w:bottom w:val="none" w:sz="0" w:space="0" w:color="auto"/>
            <w:right w:val="none" w:sz="0" w:space="0" w:color="auto"/>
          </w:divBdr>
        </w:div>
      </w:divsChild>
    </w:div>
    <w:div w:id="374045219">
      <w:bodyDiv w:val="1"/>
      <w:marLeft w:val="0"/>
      <w:marRight w:val="0"/>
      <w:marTop w:val="0"/>
      <w:marBottom w:val="0"/>
      <w:divBdr>
        <w:top w:val="none" w:sz="0" w:space="0" w:color="auto"/>
        <w:left w:val="none" w:sz="0" w:space="0" w:color="auto"/>
        <w:bottom w:val="none" w:sz="0" w:space="0" w:color="auto"/>
        <w:right w:val="none" w:sz="0" w:space="0" w:color="auto"/>
      </w:divBdr>
      <w:divsChild>
        <w:div w:id="48699004">
          <w:marLeft w:val="0"/>
          <w:marRight w:val="0"/>
          <w:marTop w:val="0"/>
          <w:marBottom w:val="0"/>
          <w:divBdr>
            <w:top w:val="none" w:sz="0" w:space="0" w:color="auto"/>
            <w:left w:val="none" w:sz="0" w:space="0" w:color="auto"/>
            <w:bottom w:val="none" w:sz="0" w:space="0" w:color="auto"/>
            <w:right w:val="none" w:sz="0" w:space="0" w:color="auto"/>
          </w:divBdr>
        </w:div>
      </w:divsChild>
    </w:div>
    <w:div w:id="866916827">
      <w:bodyDiv w:val="1"/>
      <w:marLeft w:val="0"/>
      <w:marRight w:val="0"/>
      <w:marTop w:val="0"/>
      <w:marBottom w:val="0"/>
      <w:divBdr>
        <w:top w:val="none" w:sz="0" w:space="0" w:color="auto"/>
        <w:left w:val="none" w:sz="0" w:space="0" w:color="auto"/>
        <w:bottom w:val="none" w:sz="0" w:space="0" w:color="auto"/>
        <w:right w:val="none" w:sz="0" w:space="0" w:color="auto"/>
      </w:divBdr>
      <w:divsChild>
        <w:div w:id="1194995953">
          <w:marLeft w:val="0"/>
          <w:marRight w:val="0"/>
          <w:marTop w:val="0"/>
          <w:marBottom w:val="0"/>
          <w:divBdr>
            <w:top w:val="none" w:sz="0" w:space="0" w:color="auto"/>
            <w:left w:val="none" w:sz="0" w:space="0" w:color="auto"/>
            <w:bottom w:val="none" w:sz="0" w:space="0" w:color="auto"/>
            <w:right w:val="none" w:sz="0" w:space="0" w:color="auto"/>
          </w:divBdr>
        </w:div>
      </w:divsChild>
    </w:div>
    <w:div w:id="930898054">
      <w:bodyDiv w:val="1"/>
      <w:marLeft w:val="0"/>
      <w:marRight w:val="0"/>
      <w:marTop w:val="0"/>
      <w:marBottom w:val="0"/>
      <w:divBdr>
        <w:top w:val="none" w:sz="0" w:space="0" w:color="auto"/>
        <w:left w:val="none" w:sz="0" w:space="0" w:color="auto"/>
        <w:bottom w:val="none" w:sz="0" w:space="0" w:color="auto"/>
        <w:right w:val="none" w:sz="0" w:space="0" w:color="auto"/>
      </w:divBdr>
      <w:divsChild>
        <w:div w:id="868252902">
          <w:marLeft w:val="0"/>
          <w:marRight w:val="0"/>
          <w:marTop w:val="0"/>
          <w:marBottom w:val="0"/>
          <w:divBdr>
            <w:top w:val="none" w:sz="0" w:space="0" w:color="auto"/>
            <w:left w:val="none" w:sz="0" w:space="0" w:color="auto"/>
            <w:bottom w:val="none" w:sz="0" w:space="0" w:color="auto"/>
            <w:right w:val="none" w:sz="0" w:space="0" w:color="auto"/>
          </w:divBdr>
        </w:div>
      </w:divsChild>
    </w:div>
    <w:div w:id="1113787584">
      <w:bodyDiv w:val="1"/>
      <w:marLeft w:val="0"/>
      <w:marRight w:val="0"/>
      <w:marTop w:val="0"/>
      <w:marBottom w:val="0"/>
      <w:divBdr>
        <w:top w:val="none" w:sz="0" w:space="0" w:color="auto"/>
        <w:left w:val="none" w:sz="0" w:space="0" w:color="auto"/>
        <w:bottom w:val="none" w:sz="0" w:space="0" w:color="auto"/>
        <w:right w:val="none" w:sz="0" w:space="0" w:color="auto"/>
      </w:divBdr>
      <w:divsChild>
        <w:div w:id="1311522055">
          <w:marLeft w:val="0"/>
          <w:marRight w:val="0"/>
          <w:marTop w:val="0"/>
          <w:marBottom w:val="0"/>
          <w:divBdr>
            <w:top w:val="none" w:sz="0" w:space="0" w:color="auto"/>
            <w:left w:val="none" w:sz="0" w:space="0" w:color="auto"/>
            <w:bottom w:val="none" w:sz="0" w:space="0" w:color="auto"/>
            <w:right w:val="none" w:sz="0" w:space="0" w:color="auto"/>
          </w:divBdr>
        </w:div>
      </w:divsChild>
    </w:div>
    <w:div w:id="1116287173">
      <w:bodyDiv w:val="1"/>
      <w:marLeft w:val="0"/>
      <w:marRight w:val="0"/>
      <w:marTop w:val="0"/>
      <w:marBottom w:val="0"/>
      <w:divBdr>
        <w:top w:val="none" w:sz="0" w:space="0" w:color="auto"/>
        <w:left w:val="none" w:sz="0" w:space="0" w:color="auto"/>
        <w:bottom w:val="none" w:sz="0" w:space="0" w:color="auto"/>
        <w:right w:val="none" w:sz="0" w:space="0" w:color="auto"/>
      </w:divBdr>
      <w:divsChild>
        <w:div w:id="928974990">
          <w:marLeft w:val="0"/>
          <w:marRight w:val="0"/>
          <w:marTop w:val="0"/>
          <w:marBottom w:val="0"/>
          <w:divBdr>
            <w:top w:val="none" w:sz="0" w:space="0" w:color="auto"/>
            <w:left w:val="none" w:sz="0" w:space="0" w:color="auto"/>
            <w:bottom w:val="none" w:sz="0" w:space="0" w:color="auto"/>
            <w:right w:val="none" w:sz="0" w:space="0" w:color="auto"/>
          </w:divBdr>
        </w:div>
      </w:divsChild>
    </w:div>
    <w:div w:id="1289359952">
      <w:bodyDiv w:val="1"/>
      <w:marLeft w:val="0"/>
      <w:marRight w:val="0"/>
      <w:marTop w:val="0"/>
      <w:marBottom w:val="0"/>
      <w:divBdr>
        <w:top w:val="none" w:sz="0" w:space="0" w:color="auto"/>
        <w:left w:val="none" w:sz="0" w:space="0" w:color="auto"/>
        <w:bottom w:val="none" w:sz="0" w:space="0" w:color="auto"/>
        <w:right w:val="none" w:sz="0" w:space="0" w:color="auto"/>
      </w:divBdr>
      <w:divsChild>
        <w:div w:id="350956372">
          <w:marLeft w:val="0"/>
          <w:marRight w:val="0"/>
          <w:marTop w:val="0"/>
          <w:marBottom w:val="0"/>
          <w:divBdr>
            <w:top w:val="none" w:sz="0" w:space="0" w:color="auto"/>
            <w:left w:val="none" w:sz="0" w:space="0" w:color="auto"/>
            <w:bottom w:val="none" w:sz="0" w:space="0" w:color="auto"/>
            <w:right w:val="none" w:sz="0" w:space="0" w:color="auto"/>
          </w:divBdr>
        </w:div>
      </w:divsChild>
    </w:div>
    <w:div w:id="1655839060">
      <w:bodyDiv w:val="1"/>
      <w:marLeft w:val="0"/>
      <w:marRight w:val="0"/>
      <w:marTop w:val="0"/>
      <w:marBottom w:val="0"/>
      <w:divBdr>
        <w:top w:val="none" w:sz="0" w:space="0" w:color="auto"/>
        <w:left w:val="none" w:sz="0" w:space="0" w:color="auto"/>
        <w:bottom w:val="none" w:sz="0" w:space="0" w:color="auto"/>
        <w:right w:val="none" w:sz="0" w:space="0" w:color="auto"/>
      </w:divBdr>
      <w:divsChild>
        <w:div w:id="270168044">
          <w:marLeft w:val="0"/>
          <w:marRight w:val="0"/>
          <w:marTop w:val="0"/>
          <w:marBottom w:val="0"/>
          <w:divBdr>
            <w:top w:val="none" w:sz="0" w:space="0" w:color="auto"/>
            <w:left w:val="none" w:sz="0" w:space="0" w:color="auto"/>
            <w:bottom w:val="none" w:sz="0" w:space="0" w:color="auto"/>
            <w:right w:val="none" w:sz="0" w:space="0" w:color="auto"/>
          </w:divBdr>
        </w:div>
      </w:divsChild>
    </w:div>
    <w:div w:id="1842499295">
      <w:bodyDiv w:val="1"/>
      <w:marLeft w:val="0"/>
      <w:marRight w:val="0"/>
      <w:marTop w:val="0"/>
      <w:marBottom w:val="0"/>
      <w:divBdr>
        <w:top w:val="none" w:sz="0" w:space="0" w:color="auto"/>
        <w:left w:val="none" w:sz="0" w:space="0" w:color="auto"/>
        <w:bottom w:val="none" w:sz="0" w:space="0" w:color="auto"/>
        <w:right w:val="none" w:sz="0" w:space="0" w:color="auto"/>
      </w:divBdr>
      <w:divsChild>
        <w:div w:id="2102020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Tjaša Marovt</dc:creator>
  <cp:keywords/>
  <dc:description/>
  <cp:lastModifiedBy>Tjaša Marovt</cp:lastModifiedBy>
  <cp:revision>1</cp:revision>
  <dcterms:created xsi:type="dcterms:W3CDTF">2026-05-29T09:15:00Z</dcterms:created>
  <dcterms:modified xsi:type="dcterms:W3CDTF">2026-05-29T09:51:00Z</dcterms:modified>
</cp:coreProperties>
</file>