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72"/>
        <w:gridCol w:w="15"/>
        <w:gridCol w:w="458"/>
        <w:gridCol w:w="473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DC6DBE" w14:paraId="7C80D886" w14:textId="77777777" w:rsidTr="00B850FA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AACCD4" w14:textId="77777777" w:rsidR="005A11E4" w:rsidRPr="00DC6DBE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9737D7" w:rsidRPr="00DC6DBE" w14:paraId="373EC9FD" w14:textId="77777777" w:rsidTr="00B850FA">
        <w:tc>
          <w:tcPr>
            <w:tcW w:w="1797" w:type="dxa"/>
            <w:gridSpan w:val="2"/>
          </w:tcPr>
          <w:p w14:paraId="75FF8204" w14:textId="77777777" w:rsidR="009737D7" w:rsidRPr="00DC6DBE" w:rsidRDefault="009737D7" w:rsidP="009737D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EAC" w14:textId="77777777" w:rsidR="009737D7" w:rsidRPr="00DC6DBE" w:rsidRDefault="009737D7" w:rsidP="009737D7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KROŽNO GOSPODARSTVO V LOGISTIKI</w:t>
            </w:r>
          </w:p>
        </w:tc>
      </w:tr>
      <w:tr w:rsidR="009737D7" w:rsidRPr="00DC6DBE" w14:paraId="78A573CF" w14:textId="77777777" w:rsidTr="00B850FA">
        <w:tc>
          <w:tcPr>
            <w:tcW w:w="1797" w:type="dxa"/>
            <w:gridSpan w:val="2"/>
          </w:tcPr>
          <w:p w14:paraId="7ED7D243" w14:textId="77777777" w:rsidR="009737D7" w:rsidRPr="00DC6DBE" w:rsidRDefault="009737D7" w:rsidP="009737D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F00" w14:textId="77777777" w:rsidR="009737D7" w:rsidRPr="00DC6DBE" w:rsidRDefault="009737D7" w:rsidP="009737D7">
            <w:pPr>
              <w:spacing w:after="0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CIRCULAR ECONOMY IN LOGISTICS</w:t>
            </w:r>
          </w:p>
        </w:tc>
      </w:tr>
      <w:tr w:rsidR="005A11E4" w:rsidRPr="00DC6DBE" w14:paraId="6C0A5B2F" w14:textId="77777777" w:rsidTr="00B850FA">
        <w:tc>
          <w:tcPr>
            <w:tcW w:w="3305" w:type="dxa"/>
            <w:gridSpan w:val="6"/>
            <w:vAlign w:val="center"/>
          </w:tcPr>
          <w:p w14:paraId="7E58D0F8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3055B534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3155026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43B0ADDA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DC6DBE" w14:paraId="5D27145F" w14:textId="77777777" w:rsidTr="00B850FA">
        <w:tc>
          <w:tcPr>
            <w:tcW w:w="3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915DB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48A84F18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F3211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2260BB07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3B0F7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66D8E120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4169F5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4D8AB3F8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DF39C7" w:rsidRPr="00DC6DBE" w14:paraId="064F868F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7434" w14:textId="77777777" w:rsidR="00DF39C7" w:rsidRPr="00DC6DBE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LOGISTIKA SISTEMOV 3. 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3BF" w14:textId="77777777" w:rsidR="00DF39C7" w:rsidRPr="00DC6DBE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A3D0" w14:textId="77777777" w:rsidR="00DF39C7" w:rsidRPr="00DC6DBE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6550" w14:textId="77777777" w:rsidR="00DF39C7" w:rsidRPr="00DC6DBE" w:rsidRDefault="00D732C6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1. in </w:t>
            </w:r>
            <w:r w:rsidR="009F1551"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DF39C7" w:rsidRPr="00DC6DBE" w14:paraId="0B9BB58C" w14:textId="77777777" w:rsidTr="00B850FA">
        <w:trPr>
          <w:trHeight w:val="318"/>
        </w:trPr>
        <w:tc>
          <w:tcPr>
            <w:tcW w:w="3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CEB" w14:textId="77777777" w:rsidR="00DF39C7" w:rsidRPr="00DC6DBE" w:rsidRDefault="00DF39C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  <w:lang w:val="en-GB" w:eastAsia="sl-SI"/>
              </w:rPr>
              <w:t>SYSTEM LOGISTICS 3</w:t>
            </w:r>
            <w:r w:rsidRPr="00DC6DBE">
              <w:rPr>
                <w:rFonts w:asciiTheme="minorHAnsi" w:hAnsiTheme="minorHAnsi" w:cstheme="minorHAnsi"/>
                <w:sz w:val="20"/>
                <w:szCs w:val="20"/>
                <w:vertAlign w:val="superscript"/>
                <w:lang w:val="en-GB" w:eastAsia="sl-SI"/>
              </w:rPr>
              <w:t xml:space="preserve">rd </w:t>
            </w:r>
            <w:r w:rsidRPr="00DC6DBE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A37" w14:textId="77777777" w:rsidR="00DF39C7" w:rsidRPr="00DC6DBE" w:rsidRDefault="00DF39C7" w:rsidP="00DF39C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B777" w14:textId="77777777" w:rsidR="00DF39C7" w:rsidRPr="00DC6DBE" w:rsidRDefault="00BB0F97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1</w:t>
            </w:r>
            <w:r w:rsidR="00DF39C7"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0EA5" w14:textId="77777777" w:rsidR="00DF39C7" w:rsidRPr="00DC6DBE" w:rsidRDefault="00D732C6" w:rsidP="00DF39C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1. in </w:t>
            </w:r>
            <w:r w:rsidR="009F1551"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2</w:t>
            </w:r>
            <w:r w:rsidR="00DF39C7"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.</w:t>
            </w:r>
          </w:p>
        </w:tc>
      </w:tr>
      <w:tr w:rsidR="005A11E4" w:rsidRPr="00DC6DBE" w14:paraId="14CC73BE" w14:textId="77777777" w:rsidTr="00B850FA">
        <w:trPr>
          <w:trHeight w:val="103"/>
        </w:trPr>
        <w:tc>
          <w:tcPr>
            <w:tcW w:w="9690" w:type="dxa"/>
            <w:gridSpan w:val="19"/>
          </w:tcPr>
          <w:p w14:paraId="6F907B05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C6DBE" w14:paraId="5F33AC6F" w14:textId="77777777" w:rsidTr="00B850FA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80FC7F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296337A8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DF41" w14:textId="77777777" w:rsidR="005A11E4" w:rsidRPr="00DC6DBE" w:rsidRDefault="00D732C6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sz w:val="20"/>
                <w:szCs w:val="20"/>
                <w:lang w:eastAsia="sl-SI"/>
              </w:rPr>
              <w:t>IZBIRNI</w:t>
            </w:r>
          </w:p>
        </w:tc>
      </w:tr>
      <w:tr w:rsidR="005A11E4" w:rsidRPr="00DC6DBE" w14:paraId="58011087" w14:textId="77777777" w:rsidTr="00B850FA">
        <w:trPr>
          <w:trHeight w:val="270"/>
        </w:trPr>
        <w:tc>
          <w:tcPr>
            <w:tcW w:w="5716" w:type="dxa"/>
            <w:gridSpan w:val="13"/>
            <w:vMerge/>
            <w:tcBorders>
              <w:left w:val="nil"/>
              <w:bottom w:val="nil"/>
              <w:right w:val="single" w:sz="4" w:space="0" w:color="auto"/>
            </w:tcBorders>
          </w:tcPr>
          <w:p w14:paraId="5C6B06C6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BBB7" w14:textId="77777777" w:rsidR="005A11E4" w:rsidRPr="00DC6DBE" w:rsidRDefault="00D732C6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DC6DBE">
              <w:rPr>
                <w:rFonts w:eastAsia="Calibri" w:cs="Calibri"/>
                <w:sz w:val="20"/>
                <w:szCs w:val="20"/>
                <w:lang w:val="en-GB" w:eastAsia="sl-SI"/>
              </w:rPr>
              <w:t>ELECTIVE</w:t>
            </w:r>
          </w:p>
        </w:tc>
      </w:tr>
      <w:tr w:rsidR="005A11E4" w:rsidRPr="00DC6DBE" w14:paraId="771382A4" w14:textId="77777777" w:rsidTr="00B850FA">
        <w:tc>
          <w:tcPr>
            <w:tcW w:w="5716" w:type="dxa"/>
            <w:gridSpan w:val="13"/>
          </w:tcPr>
          <w:p w14:paraId="3BE3FBF6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5DBF1" w14:textId="77777777" w:rsidR="005A11E4" w:rsidRPr="00DC6DBE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DC6DBE" w14:paraId="3A11516A" w14:textId="77777777" w:rsidTr="00B850FA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7C277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DB" w14:textId="77777777" w:rsidR="005A11E4" w:rsidRPr="00DC6DBE" w:rsidRDefault="00DF39C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sz w:val="20"/>
                <w:szCs w:val="20"/>
                <w:lang w:eastAsia="sl-SI"/>
              </w:rPr>
              <w:t>DR</w:t>
            </w:r>
          </w:p>
        </w:tc>
      </w:tr>
      <w:tr w:rsidR="005A11E4" w:rsidRPr="00DC6DBE" w14:paraId="09257E01" w14:textId="77777777" w:rsidTr="00B850FA">
        <w:tc>
          <w:tcPr>
            <w:tcW w:w="9690" w:type="dxa"/>
            <w:gridSpan w:val="19"/>
          </w:tcPr>
          <w:p w14:paraId="456D320A" w14:textId="77777777" w:rsidR="005A11E4" w:rsidRPr="00DC6DBE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DC6DBE" w14:paraId="4274FFC7" w14:textId="77777777" w:rsidTr="00B850FA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FB411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88BE9DC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977629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4F9CE98C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873DA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2C4163CA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9DFDF1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3F240448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5100D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1A05B105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4CEAD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2159B617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09AB51C6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CBC00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A11E4" w:rsidRPr="00DC6DBE" w14:paraId="681CB525" w14:textId="77777777" w:rsidTr="00B850FA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53C7A" w14:textId="77777777" w:rsidR="005A11E4" w:rsidRPr="00DC6DBE" w:rsidRDefault="00D732C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DDD3A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C9CB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654C7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F1C94" w14:textId="77777777" w:rsidR="00DF39C7" w:rsidRPr="00DC6DBE" w:rsidRDefault="00DF39C7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81BC8" w14:textId="77777777" w:rsidR="005A11E4" w:rsidRPr="00DC6DBE" w:rsidRDefault="00D732C6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Cs/>
                <w:sz w:val="20"/>
                <w:szCs w:val="20"/>
                <w:lang w:eastAsia="sl-SI"/>
              </w:rPr>
              <w:t>160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9E7C1B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BF757" w14:textId="77777777" w:rsidR="005A11E4" w:rsidRPr="00DC6DBE" w:rsidRDefault="00D732C6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5A11E4" w:rsidRPr="00DC6DBE" w14:paraId="66485F3C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E45E7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C7341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5145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AV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093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LV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8D33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>RV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4902D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0676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96F0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B4642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4059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C6DBE" w14:paraId="652C712C" w14:textId="77777777" w:rsidTr="00B850FA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76E3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021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FEA4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80B1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D919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2E9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3B6A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493F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EB38D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14DF" w14:textId="77777777" w:rsidR="005A11E4" w:rsidRPr="00DC6DB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C6DBE" w14:paraId="64903C96" w14:textId="77777777" w:rsidTr="00B850FA">
        <w:tc>
          <w:tcPr>
            <w:tcW w:w="9690" w:type="dxa"/>
            <w:gridSpan w:val="19"/>
          </w:tcPr>
          <w:p w14:paraId="74FE8DBB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DC6DBE" w14:paraId="2A4E9248" w14:textId="77777777" w:rsidTr="00B850FA">
        <w:tc>
          <w:tcPr>
            <w:tcW w:w="3305" w:type="dxa"/>
            <w:gridSpan w:val="6"/>
          </w:tcPr>
          <w:p w14:paraId="0C7137DD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C5F1" w14:textId="77777777" w:rsidR="005A11E4" w:rsidRPr="00DC6DBE" w:rsidRDefault="009737D7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REBEKA KOVAČIČ LUKMAN</w:t>
            </w:r>
          </w:p>
        </w:tc>
      </w:tr>
      <w:tr w:rsidR="005A11E4" w:rsidRPr="00DC6DBE" w14:paraId="1B1CF0D5" w14:textId="77777777" w:rsidTr="00B850FA">
        <w:tc>
          <w:tcPr>
            <w:tcW w:w="9690" w:type="dxa"/>
            <w:gridSpan w:val="19"/>
          </w:tcPr>
          <w:p w14:paraId="234EA502" w14:textId="77777777" w:rsidR="005A11E4" w:rsidRPr="00DC6DBE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B850FA" w:rsidRPr="00DC6DBE" w14:paraId="675CF14E" w14:textId="77777777" w:rsidTr="00B850FA">
        <w:tc>
          <w:tcPr>
            <w:tcW w:w="2296" w:type="dxa"/>
            <w:gridSpan w:val="3"/>
            <w:vMerge w:val="restart"/>
          </w:tcPr>
          <w:p w14:paraId="404FCA36" w14:textId="77777777" w:rsidR="00B850FA" w:rsidRPr="00DC6DBE" w:rsidRDefault="00B850FA" w:rsidP="00B850FA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6"/>
          </w:tcPr>
          <w:p w14:paraId="500D413F" w14:textId="77777777" w:rsidR="00B850FA" w:rsidRPr="00DC6DBE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09B" w14:textId="77777777" w:rsidR="00B850FA" w:rsidRPr="00DC6DBE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B850FA" w:rsidRPr="00DC6DBE" w14:paraId="1405D924" w14:textId="77777777" w:rsidTr="00B850FA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73A2239C" w14:textId="77777777" w:rsidR="00B850FA" w:rsidRPr="00DC6DBE" w:rsidRDefault="00B850FA" w:rsidP="00B850FA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6"/>
          </w:tcPr>
          <w:p w14:paraId="2E3D158E" w14:textId="77777777" w:rsidR="00B850FA" w:rsidRPr="00DC6DBE" w:rsidRDefault="00B850FA" w:rsidP="00B850FA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A20E" w14:textId="77777777" w:rsidR="00B850FA" w:rsidRPr="00DC6DBE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SLOVENSKI/SLOVENE</w:t>
            </w:r>
          </w:p>
        </w:tc>
      </w:tr>
      <w:tr w:rsidR="005A11E4" w:rsidRPr="00DC6DBE" w14:paraId="754BBA9E" w14:textId="77777777" w:rsidTr="00B850FA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7FCD7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135B97E1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3BDE4910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9A5B8BD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D00E7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9087A62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B850FA" w:rsidRPr="00DC6DBE" w14:paraId="4FFF5134" w14:textId="77777777" w:rsidTr="00B850FA">
        <w:trPr>
          <w:trHeight w:val="275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85D" w14:textId="77777777" w:rsidR="00B850FA" w:rsidRPr="00DC6DBE" w:rsidRDefault="009737D7" w:rsidP="00C31296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Ni posebnih omejitev.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C197D" w14:textId="77777777" w:rsidR="00B850FA" w:rsidRPr="00DC6DBE" w:rsidRDefault="00B850FA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411" w14:textId="77777777" w:rsidR="00B850FA" w:rsidRPr="00DC6DBE" w:rsidRDefault="009737D7" w:rsidP="00B850FA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DC6DBE">
              <w:rPr>
                <w:rFonts w:asciiTheme="minorHAnsi" w:eastAsia="Calibri" w:hAnsiTheme="minorHAnsi"/>
                <w:bCs/>
                <w:sz w:val="20"/>
                <w:szCs w:val="20"/>
              </w:rPr>
              <w:t>No special conditions.</w:t>
            </w:r>
          </w:p>
        </w:tc>
      </w:tr>
      <w:tr w:rsidR="00B850FA" w:rsidRPr="00DC6DBE" w14:paraId="4559F36B" w14:textId="77777777" w:rsidTr="00B850FA">
        <w:trPr>
          <w:trHeight w:val="137"/>
        </w:trPr>
        <w:tc>
          <w:tcPr>
            <w:tcW w:w="47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B097E" w14:textId="77777777" w:rsidR="00B850FA" w:rsidRPr="00DC6DB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E07D2D5" w14:textId="77777777" w:rsidR="00B850FA" w:rsidRPr="00DC6DB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DC6DBE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D3007BA" w14:textId="77777777" w:rsidR="00B850FA" w:rsidRPr="00DC6DB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535F3" w14:textId="77777777" w:rsidR="00B850FA" w:rsidRPr="00DC6DB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B137AC7" w14:textId="77777777" w:rsidR="00B850FA" w:rsidRPr="00DC6DBE" w:rsidRDefault="00B850FA" w:rsidP="00B850FA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9737D7" w:rsidRPr="00DC6DBE" w14:paraId="758E7ECB" w14:textId="77777777" w:rsidTr="00B850FA">
        <w:trPr>
          <w:trHeight w:val="1119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285" w14:textId="77777777" w:rsidR="009737D7" w:rsidRPr="00DC6DBE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Novi poslovni modeli za krožno gospodarstvo.</w:t>
            </w:r>
          </w:p>
          <w:p w14:paraId="66250934" w14:textId="77777777" w:rsidR="009737D7" w:rsidRPr="00DC6DBE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Trajnostna proizvodnja in potrošnja (s poudarkom na logistiki, redke surovine, sekundarni viri,  snovni tokovi, ...).</w:t>
            </w:r>
          </w:p>
          <w:p w14:paraId="35DEF545" w14:textId="77777777" w:rsidR="009737D7" w:rsidRPr="00DC6DBE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sz w:val="20"/>
                <w:szCs w:val="20"/>
              </w:rPr>
              <w:t>Vidik potrošnikov – prehod iz lastništva v storitve.</w:t>
            </w:r>
          </w:p>
          <w:p w14:paraId="457428B0" w14:textId="77777777" w:rsidR="009737D7" w:rsidRPr="00DC6DBE" w:rsidRDefault="009737D7" w:rsidP="009737D7">
            <w:pPr>
              <w:pStyle w:val="Odstavekseznama"/>
              <w:numPr>
                <w:ilvl w:val="0"/>
                <w:numId w:val="1"/>
              </w:numPr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sz w:val="20"/>
                <w:szCs w:val="20"/>
              </w:rPr>
              <w:t>Vrednotenje vplivov na okolje v celotnem življenjskem ciklu logističnih in z logistiko povezanih, procesov storitev in proizvodov.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2DD" w14:textId="77777777" w:rsidR="009737D7" w:rsidRPr="00DC6DBE" w:rsidRDefault="009737D7" w:rsidP="009737D7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237A" w14:textId="77777777" w:rsidR="009737D7" w:rsidRPr="00DC6DBE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New business models for circular economy.</w:t>
            </w:r>
          </w:p>
          <w:p w14:paraId="64FCEC30" w14:textId="77777777" w:rsidR="009737D7" w:rsidRPr="00DC6DBE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Sustainable production and consumption (with a focus on logistics, critical raw materials, secondary resources, resources flows, …).</w:t>
            </w:r>
          </w:p>
          <w:p w14:paraId="55FDEACB" w14:textId="77777777" w:rsidR="009737D7" w:rsidRPr="00DC6DBE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A consumer perspective – a transition from ownership towards services.</w:t>
            </w:r>
          </w:p>
          <w:p w14:paraId="0925432B" w14:textId="77777777" w:rsidR="009737D7" w:rsidRPr="00DC6DBE" w:rsidRDefault="009737D7" w:rsidP="009737D7">
            <w:pPr>
              <w:pStyle w:val="Odstavekseznama"/>
              <w:numPr>
                <w:ilvl w:val="0"/>
                <w:numId w:val="2"/>
              </w:numPr>
              <w:ind w:left="36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Life cycle assessment of logistics processes, services and products.</w:t>
            </w:r>
          </w:p>
        </w:tc>
      </w:tr>
      <w:tr w:rsidR="009F1551" w:rsidRPr="00DC6DBE" w14:paraId="5E453734" w14:textId="77777777" w:rsidTr="00B850FA">
        <w:tc>
          <w:tcPr>
            <w:tcW w:w="969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14:paraId="76A31818" w14:textId="77777777" w:rsidR="009F1551" w:rsidRPr="00DC6DBE" w:rsidRDefault="009F1551" w:rsidP="009F1551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69E055B7" w14:textId="77777777" w:rsidR="009F1551" w:rsidRPr="00DC6DBE" w:rsidRDefault="009F1551" w:rsidP="009F1551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9737D7" w:rsidRPr="00DC6DBE" w14:paraId="434FA000" w14:textId="77777777" w:rsidTr="00B850FA">
        <w:tc>
          <w:tcPr>
            <w:tcW w:w="96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02B4" w14:textId="2DB35AD7" w:rsidR="006D028C" w:rsidRPr="00DC6DBE" w:rsidRDefault="006D028C" w:rsidP="00C83ACF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Šebo, J., Grof, M., Kovačič Lukman, R., Palčič, I., Šebova, M. (2025). Perceptions of barriers to the implementation of circular economy initiatives in Central European manufacturing companies: evidence from selected European transitional economies. </w:t>
            </w:r>
            <w:r w:rsidRPr="00DC6DB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International Journal of Industrial Engineering and Management</w:t>
            </w:r>
            <w:r w:rsidRPr="00DC6D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, 18, 2683-345X. DOI: 0.24867/IJIEM-387</w:t>
            </w:r>
          </w:p>
          <w:p w14:paraId="5E47292E" w14:textId="2FAD1651" w:rsidR="006D028C" w:rsidRPr="00DC6DBE" w:rsidRDefault="006D028C" w:rsidP="00C83ACF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Brglez, K., Čuček, M., Kober, A. A., Kovačič Lukman, R. (2024). Barriers and influencing factors in the implementation of circular economy in Slovenian road transport. </w:t>
            </w:r>
            <w:r w:rsidRPr="00DC6DBE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Clean technologies and environmental policy</w:t>
            </w:r>
            <w:r w:rsidRPr="00DC6DB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 1–21, DOI: 10.1007/s10098-024-03062-z.</w:t>
            </w:r>
          </w:p>
          <w:p w14:paraId="286FD0B9" w14:textId="458CC249" w:rsidR="000273EF" w:rsidRPr="00DC6DBE" w:rsidRDefault="000D52B8" w:rsidP="00495B8C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Kovačič Lukman, R., Brglez, K., &amp; Krajnc, D. (2022). A conceptual model for measuring a circular economy of seaports: a case study on Antwerp and Koper ports. </w:t>
            </w:r>
            <w:r w:rsidRPr="00DC6D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Sustainability</w:t>
            </w: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r w:rsidRPr="00DC6D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14</w:t>
            </w: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(6), 1–18.</w:t>
            </w:r>
            <w:r w:rsidR="00B07A96" w:rsidRPr="00DC6DB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https://doi.org/10.3390/su14063467</w:t>
            </w:r>
          </w:p>
          <w:p w14:paraId="2BCDE4E4" w14:textId="6B2F6952" w:rsidR="004E7674" w:rsidRPr="00DC6DBE" w:rsidRDefault="004E7674" w:rsidP="00495B8C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Vidergar, P., Perc, M., &amp; Kovačič Lukman, R. (2021). A survey of the life cycle assessment of food supply chains. </w:t>
            </w:r>
            <w:r w:rsidRPr="00DC6D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Journal of cleaner production</w:t>
            </w: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, </w:t>
            </w:r>
            <w:r w:rsidRPr="00DC6D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286</w:t>
            </w: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, 1–10. https://doi.org/10.1016/j.jclepro.2020.125506</w:t>
            </w:r>
            <w:r w:rsidRPr="00DC6DBE" w:rsidDel="004E76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CACFC15" w14:textId="33924803" w:rsidR="00BB17F4" w:rsidRPr="00DC6DBE" w:rsidRDefault="00E02275" w:rsidP="00495B8C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>Prokop</w:t>
            </w:r>
            <w:r w:rsidR="002D5455" w:rsidRPr="00DC6DBE">
              <w:rPr>
                <w:rFonts w:asciiTheme="minorHAnsi" w:hAnsiTheme="minorHAnsi" w:cstheme="minorHAnsi"/>
                <w:sz w:val="20"/>
                <w:szCs w:val="20"/>
              </w:rPr>
              <w:t xml:space="preserve">, V., Stejskal, J., Horbach, J. &amp; Gerstlberger, W. (Eds.). (2022). </w:t>
            </w:r>
            <w:r w:rsidRPr="00DC6DB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Business models for the circular economy: a European perspective</w:t>
            </w:r>
            <w:r w:rsidRPr="00DC6DBE">
              <w:rPr>
                <w:rFonts w:asciiTheme="minorHAnsi" w:hAnsiTheme="minorHAnsi" w:cstheme="minorHAnsi"/>
                <w:sz w:val="20"/>
                <w:szCs w:val="20"/>
              </w:rPr>
              <w:t xml:space="preserve"> (1st ed.). Springer. </w:t>
            </w:r>
          </w:p>
        </w:tc>
      </w:tr>
      <w:tr w:rsidR="009F1551" w:rsidRPr="00DC6DBE" w14:paraId="79DD1430" w14:textId="77777777" w:rsidTr="00B850FA">
        <w:trPr>
          <w:trHeight w:val="73"/>
        </w:trPr>
        <w:tc>
          <w:tcPr>
            <w:tcW w:w="471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9E8E7" w14:textId="77777777" w:rsidR="009F1551" w:rsidRPr="00DC6DBE" w:rsidRDefault="009F1551" w:rsidP="009F1551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5728DC01" w14:textId="77777777" w:rsidR="009F1551" w:rsidRPr="00DC6DBE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558CF664" w14:textId="77777777" w:rsidR="009F1551" w:rsidRPr="00DC6DBE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546FA" w14:textId="77777777" w:rsidR="009F1551" w:rsidRPr="00DC6DBE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010A6D5" w14:textId="77777777" w:rsidR="009F1551" w:rsidRPr="00DC6DBE" w:rsidRDefault="009F1551" w:rsidP="009F1551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9737D7" w:rsidRPr="00DC6DBE" w14:paraId="57D1F200" w14:textId="77777777" w:rsidTr="00287663">
        <w:trPr>
          <w:trHeight w:val="553"/>
        </w:trPr>
        <w:tc>
          <w:tcPr>
            <w:tcW w:w="47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7B56" w14:textId="77777777" w:rsidR="00503D99" w:rsidRPr="00DC6DBE" w:rsidRDefault="00503D99" w:rsidP="00DC6DBE">
            <w:pPr>
              <w:pStyle w:val="Odstavekseznam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Cilji predmeta:</w:t>
            </w:r>
          </w:p>
          <w:p w14:paraId="43F45C7F" w14:textId="77777777" w:rsidR="009737D7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Izboljšati, pridobiti in poglobiti i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nterdisciplinarna znanja iz področja krožnega gospodarstva v logistiki.</w:t>
            </w:r>
          </w:p>
          <w:p w14:paraId="108D4E34" w14:textId="77777777" w:rsidR="009737D7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 xml:space="preserve">Pridobiti nova znanja iz področja 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načrtovanja</w:t>
            </w:r>
            <w:r w:rsidR="00054641" w:rsidRPr="00DC6DBE">
              <w:rPr>
                <w:rFonts w:asciiTheme="minorHAnsi" w:hAnsiTheme="minorHAnsi"/>
                <w:sz w:val="20"/>
                <w:szCs w:val="20"/>
              </w:rPr>
              <w:t xml:space="preserve"> in modeliranja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logističnih procesov in kompleksnega vrednotenja vplivov na okolje (tudi stroškov).</w:t>
            </w:r>
          </w:p>
          <w:p w14:paraId="17FDE11B" w14:textId="77777777" w:rsidR="009737D7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 xml:space="preserve">Izboljšati sposobnost 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samostojnega znanstveno-raziskovalno dela iz področja krožnega gospodarstva.</w:t>
            </w:r>
          </w:p>
          <w:p w14:paraId="53E0FA2F" w14:textId="77777777" w:rsidR="00DC6DBE" w:rsidRDefault="00DC6DBE" w:rsidP="00DC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219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1B195D7" w14:textId="4817CB59" w:rsidR="00503D99" w:rsidRPr="00DC6DBE" w:rsidRDefault="00503D99" w:rsidP="00DC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Kompetence:</w:t>
            </w:r>
          </w:p>
          <w:p w14:paraId="14CE0218" w14:textId="6132ABB6" w:rsidR="00503D99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Študent/ka je sposobna načrtovati krožne poslovne modele in implementirati načela krožnega gospodarstva v logistične procese</w:t>
            </w:r>
            <w:r w:rsidR="00DC6DB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E3313E9" w14:textId="6FF25A61" w:rsidR="00503D99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Študent/ka je sposobna zmodelirati kompleksnejše logistične procese z uporabo programskih orodij in uvesti načela krožnega gospodarstva, kot izboljšave</w:t>
            </w:r>
            <w:r w:rsidR="00DC6DB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88F9D2C" w14:textId="2AC24D40" w:rsidR="00503D99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Študent/ka je sposobna samostojnega znanstveno-raziskovalnega dela iz področja krožnega gospo</w:t>
            </w:r>
            <w:r w:rsidR="00DC6DBE">
              <w:rPr>
                <w:rFonts w:asciiTheme="minorHAnsi" w:hAnsiTheme="minorHAnsi"/>
                <w:sz w:val="20"/>
                <w:szCs w:val="20"/>
              </w:rPr>
              <w:t>d</w:t>
            </w:r>
            <w:r w:rsidRPr="00DC6DBE">
              <w:rPr>
                <w:rFonts w:asciiTheme="minorHAnsi" w:hAnsiTheme="minorHAnsi"/>
                <w:sz w:val="20"/>
                <w:szCs w:val="20"/>
              </w:rPr>
              <w:t>arstva</w:t>
            </w:r>
            <w:r w:rsidR="00DC6DB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D7E6B" w14:textId="77777777" w:rsidR="009737D7" w:rsidRPr="00DC6DBE" w:rsidRDefault="009737D7" w:rsidP="00DC6DBE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BC1D" w14:textId="77777777" w:rsidR="00503D99" w:rsidRPr="00DC6DBE" w:rsidRDefault="00503D99" w:rsidP="00DC6DBE">
            <w:pPr>
              <w:pStyle w:val="Odstavekseznam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Course objectives:</w:t>
            </w:r>
          </w:p>
          <w:p w14:paraId="30389E4C" w14:textId="77777777" w:rsidR="009737D7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Improve, acquire and deepen the i</w:t>
            </w:r>
            <w:r w:rsidR="009737D7" w:rsidRPr="00DC6DBE">
              <w:rPr>
                <w:rFonts w:asciiTheme="minorHAnsi" w:hAnsiTheme="minorHAnsi"/>
                <w:sz w:val="20"/>
                <w:szCs w:val="20"/>
                <w:lang w:val="en-GB"/>
              </w:rPr>
              <w:t>nterdisciplinary knowledge in the field of circular economy in logistics.</w:t>
            </w:r>
          </w:p>
          <w:p w14:paraId="071D8388" w14:textId="77777777" w:rsidR="009737D7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Acquire new knowledge in the fields of d</w:t>
            </w:r>
            <w:r w:rsidR="009737D7" w:rsidRPr="00DC6DBE">
              <w:rPr>
                <w:rFonts w:asciiTheme="minorHAnsi" w:hAnsiTheme="minorHAnsi"/>
                <w:sz w:val="20"/>
                <w:szCs w:val="20"/>
                <w:lang w:val="en-GB"/>
              </w:rPr>
              <w:t>esign</w:t>
            </w:r>
            <w:r w:rsidR="00054641" w:rsidRPr="00DC6DB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and modelling </w:t>
            </w:r>
            <w:r w:rsidR="009737D7" w:rsidRPr="00DC6DBE">
              <w:rPr>
                <w:rFonts w:asciiTheme="minorHAnsi" w:hAnsiTheme="minorHAnsi"/>
                <w:sz w:val="20"/>
                <w:szCs w:val="20"/>
                <w:lang w:val="en-GB"/>
              </w:rPr>
              <w:t>of logistic processes and complex life cycle analyses (also cost analyses).</w:t>
            </w:r>
          </w:p>
          <w:p w14:paraId="124BBB8C" w14:textId="77777777" w:rsidR="009737D7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Improve the ability of i</w:t>
            </w:r>
            <w:r w:rsidR="009737D7" w:rsidRPr="00DC6DBE">
              <w:rPr>
                <w:rFonts w:asciiTheme="minorHAnsi" w:hAnsiTheme="minorHAnsi"/>
                <w:sz w:val="20"/>
                <w:szCs w:val="20"/>
                <w:lang w:val="en-GB"/>
              </w:rPr>
              <w:t>ndividual research work in the field of circular economy.</w:t>
            </w:r>
          </w:p>
          <w:p w14:paraId="7E6693BE" w14:textId="77777777" w:rsidR="00503D99" w:rsidRPr="00DC6DBE" w:rsidRDefault="00503D99" w:rsidP="00DC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6246A059" w14:textId="77777777" w:rsidR="00DC6DBE" w:rsidRDefault="00DC6DBE" w:rsidP="00DC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  <w:p w14:paraId="403ECE78" w14:textId="78EAC9A4" w:rsidR="00503D99" w:rsidRPr="00DC6DBE" w:rsidRDefault="00503D99" w:rsidP="00DC6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>Competences:</w:t>
            </w:r>
          </w:p>
          <w:p w14:paraId="4483A18B" w14:textId="7DF94037" w:rsidR="00503D99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The student is able to desing a circular business models, implementing principles of circular economy into logistics processes</w:t>
            </w:r>
            <w:r w:rsidR="00DC6DB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8D92412" w14:textId="77777777" w:rsidR="00503D99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The student is able to model more complex logistics processes, using programmes, and integrate principles of circular economy as possible innovations.</w:t>
            </w:r>
          </w:p>
          <w:p w14:paraId="0D498076" w14:textId="5E218899" w:rsidR="00503D99" w:rsidRPr="00DC6DBE" w:rsidRDefault="00503D99" w:rsidP="00DC6DBE">
            <w:pPr>
              <w:pStyle w:val="Odstavekseznama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The student is able to carry out individual research work in the field of circular economy</w:t>
            </w:r>
            <w:r w:rsidR="00DC6DB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287663" w:rsidRPr="00DC6DBE" w14:paraId="5ECD138D" w14:textId="77777777" w:rsidTr="00B850FA">
        <w:trPr>
          <w:trHeight w:val="117"/>
        </w:trPr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DE09D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CDEAF1D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65F0E1B2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50F54A9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FBFEC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AE2831E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9737D7" w:rsidRPr="00DC6DBE" w14:paraId="4BF50B6C" w14:textId="77777777" w:rsidTr="00EE3E7F">
        <w:trPr>
          <w:trHeight w:val="20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73F996" w14:textId="77777777" w:rsidR="009737D7" w:rsidRPr="00DC6DBE" w:rsidRDefault="00844A4A" w:rsidP="00DC6DB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Študentka/študent bo zmožna: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83AE8E1" w14:textId="16CD21A3" w:rsidR="009737D7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elovito razumeti</w:t>
            </w:r>
            <w:r w:rsidR="00054641" w:rsidRPr="00DC6DB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krožn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o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gospodars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tvo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v logistiki (vključujoč redke surovine, sekundarni viri,  snovni tokovi ...).</w:t>
            </w:r>
          </w:p>
          <w:p w14:paraId="5704BD1A" w14:textId="71852455" w:rsidR="009737D7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ačrtova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ti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nov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poslovn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model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krožnega gospodarstva (npr. prehod iz lastništva v storitve).</w:t>
            </w:r>
          </w:p>
          <w:p w14:paraId="6BD78594" w14:textId="0D52F2DD" w:rsidR="009737D7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ačrtova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ti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logističn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proces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in celovitega vrednotenja vplivov na okolje, upoštevajoč tudi stroške.</w:t>
            </w:r>
          </w:p>
          <w:p w14:paraId="462C77A0" w14:textId="60CE3673" w:rsidR="00844A4A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porab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iti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napredn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znanstven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 xml:space="preserve">e 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metod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, mode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le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>, tehnik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e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 pri načrtovanju procesov in poslovnih modelov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2F60E84" w14:textId="3AB614AE" w:rsidR="009737D7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</w:t>
            </w:r>
            <w:r w:rsidR="00844A4A" w:rsidRPr="00DC6DBE">
              <w:rPr>
                <w:rFonts w:asciiTheme="minorHAnsi" w:hAnsiTheme="minorHAnsi"/>
                <w:sz w:val="20"/>
                <w:szCs w:val="20"/>
              </w:rPr>
              <w:t>vajati inovacije v obstoječe logistične procese, na osnovi krožnega gospodarstva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497AC2E" w14:textId="77777777" w:rsidR="009737D7" w:rsidRPr="00DC6DBE" w:rsidRDefault="009737D7" w:rsidP="00DC6DBE">
            <w:pPr>
              <w:tabs>
                <w:tab w:val="left" w:pos="227"/>
              </w:tabs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52C76" w14:textId="77777777" w:rsidR="009737D7" w:rsidRPr="00DC6DBE" w:rsidRDefault="009737D7" w:rsidP="00DC6DB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66779D35" w14:textId="77777777" w:rsidR="009737D7" w:rsidRPr="00DC6DBE" w:rsidRDefault="009737D7" w:rsidP="00DC6DB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5D6DB24" w14:textId="77777777" w:rsidR="009737D7" w:rsidRPr="00DC6DBE" w:rsidRDefault="009737D7" w:rsidP="00DC6DB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A1A23B" w14:textId="77777777" w:rsidR="006069A0" w:rsidRPr="00DC6DBE" w:rsidRDefault="00844A4A" w:rsidP="00DC6DBE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lang w:val="en-GB"/>
              </w:rPr>
            </w:pPr>
            <w:r w:rsidRPr="00DC6DBE">
              <w:rPr>
                <w:rFonts w:asciiTheme="minorHAnsi" w:hAnsiTheme="minorHAnsi" w:cstheme="minorHAnsi"/>
                <w:sz w:val="20"/>
                <w:lang w:val="en-GB"/>
              </w:rPr>
              <w:t>The student will be capable of</w:t>
            </w:r>
            <w:r w:rsidR="006069A0" w:rsidRPr="00DC6DBE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  <w:p w14:paraId="49D9AD71" w14:textId="3211C646" w:rsidR="006069A0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</w:t>
            </w:r>
            <w:r w:rsidR="00844A4A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nderstanding </w:t>
            </w:r>
            <w:r w:rsidR="006069A0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circular economy in logistics (including critical raw materials, secondary sources, resource flows …).</w:t>
            </w:r>
          </w:p>
          <w:p w14:paraId="3EDF9334" w14:textId="64B923BC" w:rsidR="006069A0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="006069A0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esign</w:t>
            </w:r>
            <w:r w:rsidR="00844A4A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r w:rsidR="006069A0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new circular economy business models (a transition from ownership towards services).</w:t>
            </w:r>
          </w:p>
          <w:p w14:paraId="221F12DA" w14:textId="7207EE43" w:rsidR="006069A0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="00844A4A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esigning</w:t>
            </w:r>
            <w:r w:rsidR="006069A0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logistic processes and complex assessment of environmental impacts, considering costs.</w:t>
            </w:r>
          </w:p>
          <w:p w14:paraId="1D22EA52" w14:textId="517C36CC" w:rsidR="006069A0" w:rsidRPr="00DC6DBE" w:rsidRDefault="00DC6DBE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</w:t>
            </w:r>
            <w:r w:rsidR="00844A4A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mploying</w:t>
            </w:r>
            <w:r w:rsidR="006069A0"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scientific-research anticipation and application of advanced methods, models, techniques by design of processes and business models.</w:t>
            </w:r>
          </w:p>
          <w:p w14:paraId="5F841D4F" w14:textId="254F06E1" w:rsidR="00844A4A" w:rsidRPr="00DC6DBE" w:rsidRDefault="00844A4A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Introducing circular economy innovations into existing logistics processes</w:t>
            </w:r>
            <w:r w:rsid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6A655183" w14:textId="77777777" w:rsidR="009737D7" w:rsidRPr="00DC6DBE" w:rsidRDefault="009737D7" w:rsidP="00DC6DBE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287663" w:rsidRPr="00DC6DBE" w14:paraId="5D672370" w14:textId="77777777" w:rsidTr="00EE3E7F">
        <w:trPr>
          <w:trHeight w:val="496"/>
        </w:trPr>
        <w:tc>
          <w:tcPr>
            <w:tcW w:w="47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93E" w14:textId="77777777" w:rsidR="009737D7" w:rsidRPr="00DC6DBE" w:rsidRDefault="00287663" w:rsidP="00DC6DBE">
            <w:pPr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Theme="minorHAnsi" w:hAnsiTheme="minorHAnsi"/>
                <w:b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737D7" w:rsidRPr="00DC6DBE">
              <w:rPr>
                <w:rFonts w:asciiTheme="minorHAnsi" w:hAnsiTheme="minorHAnsi"/>
                <w:sz w:val="20"/>
                <w:szCs w:val="20"/>
              </w:rPr>
              <w:t xml:space="preserve">Prenesljive/ključne spretnosti in drugi atributi: </w:t>
            </w:r>
          </w:p>
          <w:p w14:paraId="033D6C2F" w14:textId="77777777" w:rsidR="009737D7" w:rsidRPr="00DC6DBE" w:rsidRDefault="009737D7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Potrebno znanje za načrtovanje in modeliranje procesov ter vrednotenje vplivov na okolje.</w:t>
            </w:r>
          </w:p>
          <w:p w14:paraId="666C0470" w14:textId="77777777" w:rsidR="00287663" w:rsidRPr="00DC6DBE" w:rsidRDefault="009737D7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</w:rPr>
              <w:t>Poznavanje in uporaba naprednih računalniško podprtih orodjih.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F333D3" w14:textId="77777777" w:rsidR="00287663" w:rsidRPr="00DC6DBE" w:rsidRDefault="00287663" w:rsidP="00DC6DBE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0F28" w14:textId="77777777" w:rsidR="006069A0" w:rsidRPr="00DC6DBE" w:rsidRDefault="00287663" w:rsidP="00DC6DBE">
            <w:pPr>
              <w:pStyle w:val="alineja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lang w:val="en-GB"/>
              </w:rPr>
            </w:pPr>
            <w:r w:rsidRPr="00DC6DBE">
              <w:rPr>
                <w:rFonts w:asciiTheme="minorHAnsi" w:hAnsiTheme="minorHAnsi"/>
                <w:sz w:val="20"/>
              </w:rPr>
              <w:t xml:space="preserve"> </w:t>
            </w:r>
            <w:r w:rsidR="006069A0" w:rsidRPr="00DC6DBE">
              <w:rPr>
                <w:rFonts w:asciiTheme="minorHAnsi" w:hAnsiTheme="minorHAnsi" w:cstheme="minorHAnsi"/>
                <w:sz w:val="20"/>
                <w:lang w:val="en-GB"/>
              </w:rPr>
              <w:t>Transferable/Key Skills and other attributes:</w:t>
            </w:r>
          </w:p>
          <w:p w14:paraId="070A1B6C" w14:textId="77777777" w:rsidR="006069A0" w:rsidRPr="00DC6DBE" w:rsidRDefault="006069A0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The necessary </w:t>
            </w:r>
            <w:r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engineering knowledge for design and model of processes and their environmental assessments.</w:t>
            </w:r>
          </w:p>
          <w:p w14:paraId="29CA9FF4" w14:textId="77777777" w:rsidR="00287663" w:rsidRPr="00DC6DBE" w:rsidRDefault="006069A0" w:rsidP="00DC6DBE">
            <w:pPr>
              <w:pStyle w:val="Odstavekseznama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19" w:hanging="2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knowledge and the application of the advanced </w:t>
            </w:r>
            <w:r w:rsidRPr="00DC6DBE">
              <w:rPr>
                <w:rFonts w:asciiTheme="minorHAnsi" w:hAnsiTheme="minorHAnsi" w:cstheme="minorHAnsi"/>
                <w:sz w:val="20"/>
                <w:szCs w:val="20"/>
                <w:lang w:val="en"/>
              </w:rPr>
              <w:t>computer-aided tools.</w:t>
            </w:r>
          </w:p>
        </w:tc>
      </w:tr>
      <w:tr w:rsidR="00287663" w:rsidRPr="00DC6DBE" w14:paraId="0753FA36" w14:textId="77777777" w:rsidTr="00B850FA">
        <w:tc>
          <w:tcPr>
            <w:tcW w:w="47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76AAF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554A419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B283BD5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18C31D2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01E27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471A858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287663" w:rsidRPr="00DC6DBE" w14:paraId="6F9E9B19" w14:textId="77777777" w:rsidTr="00EE3E7F">
        <w:trPr>
          <w:trHeight w:val="246"/>
        </w:trPr>
        <w:tc>
          <w:tcPr>
            <w:tcW w:w="47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0FD8" w14:textId="09D10FA4" w:rsidR="006069A0" w:rsidRPr="00DC6DBE" w:rsidRDefault="006069A0" w:rsidP="006069A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bCs/>
                <w:sz w:val="20"/>
                <w:szCs w:val="20"/>
              </w:rPr>
              <w:t>− Predavanja.</w:t>
            </w:r>
          </w:p>
          <w:p w14:paraId="7B719CC5" w14:textId="77777777" w:rsidR="006069A0" w:rsidRPr="00DC6DBE" w:rsidRDefault="006069A0" w:rsidP="006069A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bCs/>
                <w:sz w:val="20"/>
                <w:szCs w:val="20"/>
              </w:rPr>
              <w:t>− Samostojno delo.</w:t>
            </w:r>
          </w:p>
          <w:p w14:paraId="50982076" w14:textId="77777777" w:rsidR="00287663" w:rsidRPr="00DC6DBE" w:rsidRDefault="006069A0" w:rsidP="006069A0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DC6DBE">
              <w:rPr>
                <w:rFonts w:asciiTheme="minorHAnsi" w:hAnsiTheme="minorHAnsi" w:cstheme="minorHAnsi"/>
                <w:bCs/>
                <w:sz w:val="20"/>
                <w:szCs w:val="20"/>
              </w:rPr>
              <w:t>− Projektno delo.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22221C" w14:textId="77777777" w:rsidR="00287663" w:rsidRPr="00DC6DBE" w:rsidRDefault="00287663" w:rsidP="006069A0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BDC3" w14:textId="2824BE8F" w:rsidR="006069A0" w:rsidRPr="00F50C4F" w:rsidRDefault="006069A0" w:rsidP="00F50C4F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bCs/>
                <w:sz w:val="20"/>
                <w:szCs w:val="20"/>
              </w:rPr>
              <w:t>Lectures.</w:t>
            </w:r>
          </w:p>
          <w:p w14:paraId="409E9D1C" w14:textId="77777777" w:rsidR="006069A0" w:rsidRPr="00DC6DBE" w:rsidRDefault="006069A0" w:rsidP="006069A0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bCs/>
                <w:sz w:val="20"/>
                <w:szCs w:val="20"/>
              </w:rPr>
              <w:t>Individual work.</w:t>
            </w:r>
          </w:p>
          <w:p w14:paraId="1FFE08A6" w14:textId="77777777" w:rsidR="00287663" w:rsidRPr="00DC6DBE" w:rsidRDefault="006069A0" w:rsidP="006069A0">
            <w:pPr>
              <w:numPr>
                <w:ilvl w:val="0"/>
                <w:numId w:val="6"/>
              </w:numPr>
              <w:spacing w:after="0"/>
              <w:ind w:left="176" w:hanging="17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C6DBE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Project work.</w:t>
            </w:r>
          </w:p>
        </w:tc>
      </w:tr>
    </w:tbl>
    <w:p w14:paraId="6C6A2421" w14:textId="77777777" w:rsidR="006C0883" w:rsidRDefault="006C0883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1560"/>
        <w:gridCol w:w="4112"/>
      </w:tblGrid>
      <w:tr w:rsidR="00287663" w:rsidRPr="00DC6DBE" w14:paraId="69471037" w14:textId="77777777" w:rsidTr="006C0883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0345" w14:textId="439CAB73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BD74B34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D6CDB44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47D37" w14:textId="77777777" w:rsidR="00287663" w:rsidRPr="00DC6DBE" w:rsidRDefault="00287663" w:rsidP="0028766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36E4AC0E" w14:textId="77777777" w:rsidR="00287663" w:rsidRPr="00DC6DBE" w:rsidRDefault="00287663" w:rsidP="0028766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7DA95F56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B66AB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15E94D9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48123CD" w14:textId="77777777" w:rsidR="00287663" w:rsidRPr="00DC6DBE" w:rsidRDefault="00287663" w:rsidP="0028766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6C0883" w:rsidRPr="006C0883" w14:paraId="76069374" w14:textId="77777777" w:rsidTr="006C0883">
        <w:trPr>
          <w:trHeight w:val="31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6F6" w14:textId="1F172BC9" w:rsidR="00AA0C5E" w:rsidRPr="006C0883" w:rsidRDefault="00AA0C5E" w:rsidP="00AA0C5E">
            <w:pPr>
              <w:numPr>
                <w:ilvl w:val="0"/>
                <w:numId w:val="7"/>
              </w:numPr>
              <w:spacing w:after="0"/>
              <w:ind w:left="230" w:hanging="23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Pisni izpit</w:t>
            </w:r>
            <w:r w:rsidR="006C0883" w:rsidRPr="006C08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505FC01" w14:textId="3B6E1850" w:rsidR="00287663" w:rsidRPr="006C0883" w:rsidRDefault="006069A0" w:rsidP="006C0883">
            <w:pPr>
              <w:numPr>
                <w:ilvl w:val="0"/>
                <w:numId w:val="7"/>
              </w:numPr>
              <w:spacing w:after="0"/>
              <w:ind w:left="230" w:hanging="23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bCs/>
                <w:sz w:val="20"/>
                <w:szCs w:val="20"/>
              </w:rPr>
              <w:t>Raziskovalna naloga.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6FA7" w14:textId="77777777" w:rsidR="00287663" w:rsidRPr="006C0883" w:rsidRDefault="006069A0" w:rsidP="006069A0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C0883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  <w:r w:rsidR="00287663" w:rsidRPr="006C0883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  <w:p w14:paraId="594549D6" w14:textId="77777777" w:rsidR="00287663" w:rsidRPr="006C0883" w:rsidRDefault="006069A0" w:rsidP="006069A0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6C0883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  <w:r w:rsidR="00287663" w:rsidRPr="006C0883">
              <w:rPr>
                <w:rFonts w:eastAsia="Calibri" w:cs="Calibri"/>
                <w:sz w:val="20"/>
                <w:szCs w:val="20"/>
                <w:lang w:eastAsia="sl-SI"/>
              </w:rPr>
              <w:t>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11A6" w14:textId="56F78580" w:rsidR="00AA0C5E" w:rsidRPr="006C0883" w:rsidRDefault="00AA0C5E" w:rsidP="006069A0">
            <w:pPr>
              <w:numPr>
                <w:ilvl w:val="0"/>
                <w:numId w:val="8"/>
              </w:numPr>
              <w:spacing w:after="0"/>
              <w:ind w:left="177" w:hanging="177"/>
              <w:jc w:val="both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Written exam</w:t>
            </w:r>
            <w:r w:rsidR="006C0883" w:rsidRPr="006C08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A291B3B" w14:textId="1793331C" w:rsidR="00287663" w:rsidRPr="006C0883" w:rsidRDefault="00AA0C5E" w:rsidP="006C0883">
            <w:pPr>
              <w:numPr>
                <w:ilvl w:val="0"/>
                <w:numId w:val="8"/>
              </w:numPr>
              <w:spacing w:after="0"/>
              <w:ind w:left="177" w:hanging="177"/>
              <w:jc w:val="both"/>
              <w:rPr>
                <w:rFonts w:asciiTheme="minorHAnsi" w:hAnsiTheme="minorHAnsi" w:cstheme="minorHAnsi"/>
                <w:b/>
                <w:bCs/>
                <w:strike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Research paper</w:t>
            </w:r>
            <w:r w:rsidR="006C08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553ADFE" w14:textId="77777777" w:rsidR="005A11E4" w:rsidRPr="00DC6DBE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DC6DBE" w14:paraId="068C60B2" w14:textId="77777777" w:rsidTr="00D434A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2646D5FF" w14:textId="77777777" w:rsidR="005A11E4" w:rsidRPr="00DC6DB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DC6DB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6C0883" w:rsidRPr="006C0883" w14:paraId="65F71A8F" w14:textId="77777777" w:rsidTr="00D434A7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8AA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1. ŠEBO, Juraj, GROF, Marek, KOVAČIČ LUKMAN, Rebeka, PALČIČ, Iztok, ŠEBOVÁ, Miriam. Perceptions of barriers to the implementation of circular economy initiatives in Central European manufacturing companies : evidence from selected European transitional economies. International Journal of Industrial Engineering and Management. 1. aug. 2025, 18 str. ISSN 2683-345X. https://ijiemjournal.uns.ac.rs/index.php/ijiem/article/view/1506, DOI: 0.24867/IJIEM-387. [COBISS.SI-ID 246079747], [SNIP]</w:t>
            </w:r>
          </w:p>
          <w:p w14:paraId="1F0E1BA2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kategorija: 1A2 (Z, A', A1/2); uvrstitev: Scopus (d), Scopus, MBP (DOAJ, ESCI, METADEX); tip dela še ni verificiran</w:t>
            </w:r>
          </w:p>
          <w:p w14:paraId="69720179" w14:textId="28908D24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2. GUMZEJ, Roman, KRAMBERGER, Tomaž, BRGLEZ, Kristijan, KOVAČIČ LUKMAN, Rebeka. Knowledge-based engineering in strategic logistics planning. Sustainability. Jun. 2025, vol. 17, issue 15, [article no.] 6820, str. 1-16, ilustr. ISSN 2071-1050. https://www.mdpi.com/2071-1050/17/15/6820. [COBISS.SI-ID 244536067], [JCR, SNIP]</w:t>
            </w:r>
          </w:p>
          <w:p w14:paraId="55AF72DF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kategorija: 1A2 (Z, A', A1/2); uvrstitev: Scopus (d), SCIE, SSCI, Scopus, MBP (CAB, GEOREF, INSPEC, PUBMED); tip dela je verificiral OSICN</w:t>
            </w:r>
          </w:p>
          <w:p w14:paraId="34FBD2FF" w14:textId="591FA953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3. BRGLEZ, Kristijan, PERC, Matjaž, KOVAČIČ LUKMAN, Rebeka. A conceptual model for a circular city : a case study of Maribor, Slovenia. Clean technologies and environmental policy. 2024, vol. 26, iss. 1, str. 45-65. ISSN 1618-954X. DOI: 10.1007/s10098-023-02579-z, DOI: 20.500.12556/DKUM-87846. [COBISS.SI-ID 162551299], [JCR, SNIP, WoS do 29. 9. 2025: št. citatov (TC): 2, čistih citatov (CI): 2, čistih citatov na avtorja (CIAu): 0.67, Scopus do 17. 9. 2025: št. citatov (TC): 2, čistih citatov (CI): 2, čistih citatov na avtorja (CIAu): 0.67]</w:t>
            </w:r>
          </w:p>
          <w:p w14:paraId="3BDA5E26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P1-0403 Računsko intenzivni kompleksni sistemi; financer: ARIS</w:t>
            </w:r>
          </w:p>
          <w:p w14:paraId="435AA5A8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kategorija: 1A2 (Z, A', A1/2); uvrstitev: Scopus (d), SCIE, Scopus, MBP (COMPENDEX, IBZ, INSPEC, METADEX, PAIS, PUBMED); tip dela je verificiral OSICN</w:t>
            </w:r>
          </w:p>
          <w:p w14:paraId="0449A9EC" w14:textId="626704D1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4. BRGLEZ, Kristijan, ČUČEK, Mateja, KOBER, Andjelko Andy, KOVAČIČ LUKMAN, Rebeka. Barriers and influencing factors in the implementation of circular economy in Slovenian road transport. Clean technologies and environmental policy. [Online ed.]. 2024, str. [1-21], ilustr. ISSN 1618-9558. https://link.springer.com/article/10.1007/s10098-024-03062-z, DOI: 10.1007/s10098-024-03062-z. [COBISS.SI-ID 216391171], [Odprti dostop, JCR, SNIP, WoS, Scopus]</w:t>
            </w:r>
          </w:p>
          <w:p w14:paraId="19087B62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P1-0403-2019 Računsko intenzivni kompleksni sistemi; financer: Javna agencija za znanstvenoraziskovalno in inovacijsko dejavnost Republike Slovenije</w:t>
            </w:r>
          </w:p>
          <w:p w14:paraId="75721E5D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Young Researcher program Young Researcher program; financer: Javna agencija za znanstvenoraziskovalno in inovacijsko dejavnost Republike Slovenije</w:t>
            </w:r>
          </w:p>
          <w:p w14:paraId="3603C5BB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kategorija: 1A2 (Z, A', A1/2); uvrstitev: Scopus (d), SCIE, Scopus, MBP (COMPENDEX, IBZ, INSPEC, METADEX, PAIS, PUBMED); tip dela še ni verificiran</w:t>
            </w:r>
          </w:p>
          <w:p w14:paraId="32EC56FD" w14:textId="197E5074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5. BRGLEZ, Kristijan, ČUČEK, Lidija, KRAJNC, Damjan, KOVAČIČ LUKMAN, Rebeka. Assessing the environmental impact of plastic flows in urban areas : a life cycle assessment and scenario analysis study. Journal of cleaner production. [Print ed.]. 2024, vol. 449, [article no.] 141761, 10 str., ilustr. ISSN 0959-6526. DOI: 10.1016/j.jclepro.2024.141761. [COBISS.SI-ID 190120195], [JCR, SNIP, WoS do 30. 10. 2025: št. citatov (TC): 13, čistih citatov (CI): 13, čistih citatov na avtorja (CIAu): 3.25, Scopus do 15. 11. 2025: št. citatov (TC): 14, čistih citatov (CI): 14, čistih citatov na avtorja (CIAu): 3.50]</w:t>
            </w:r>
          </w:p>
          <w:p w14:paraId="2FD1E953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P1-0403 Računsko intenzivni kompleksni sistemi; financer: ARIS</w:t>
            </w:r>
          </w:p>
          <w:p w14:paraId="22F0DE96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P2-0421 Trajnostne tehnologije in krožno gospodarstvo; financer: ARIS</w:t>
            </w:r>
          </w:p>
          <w:p w14:paraId="0D97D445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J7-3149 Načrtovanje in upravljanje trajnostnih vrednostnih verig proizvodnje plastičnih materialov za prehod v krožno gospodarstvo; financer: ARIS</w:t>
            </w:r>
          </w:p>
          <w:p w14:paraId="14B72240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kategorija: 1A1 (Z, A'', A', A1/2); uvrstitev: SCIE, Scopus (d), Scopus, MBP (COMPENDEX, INSPEC, PUBMED); tip dela je verificiral OSICB</w:t>
            </w:r>
          </w:p>
          <w:p w14:paraId="080B3C16" w14:textId="2B92AE40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6. BRGLEZ, Kristijan, PERC, Matjaž, KOVAČIČ LUKMAN, Rebeka. The complexity and interconnectedness of circular cities and the circular economy for sustainability. Sustainable development. 2024, vol. 32, iss. 3, str. 2049-2065. ISSN 0968-0802. DOI: 10.1002/sd.2766, DOI: 20.500.12556/DKUM-87804. [COBISS.SI-ID 165374211], [Odprti dostop, JCR, SNIP, WoS do 20. 11. 2025: št. citatov (TC): 21, čistih citatov (CI): 21, čistih citatov na avtorja (CIAu): 7.00, Scopus do 23. 11. 2025: št. citatov (TC): 22, čistih citatov (CI): 22, čistih citatov na avtorja (CIAu): 7.33]</w:t>
            </w:r>
          </w:p>
          <w:p w14:paraId="320CCC71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P1-0403-2019 Računsko intenzivni kompleksni sistemi; financer: Javna agencija za znanstvenoraziskovalno in inovacijsko dejavnost Republike Slovenije</w:t>
            </w:r>
          </w:p>
          <w:p w14:paraId="300BEA96" w14:textId="77777777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t>projekt: 1662/FNM-2021 Slovenian Research Agency (Grant No. 1662/FNM-2021); financer: Slovenian Research and Innovation Agency</w:t>
            </w:r>
          </w:p>
          <w:p w14:paraId="52280FE8" w14:textId="68DB1010" w:rsidR="0022657A" w:rsidRPr="006C0883" w:rsidRDefault="0022657A" w:rsidP="006C0883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C088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kategorija: 1A1 (Z, A'', A', A1/2); uvrstitev: SSCI, Scopus (d), Scopus, MBP (ASFA, IBSS, IBZ, METADEX, PAIS, SA, WPSA); tip dela je verificiral OSICN</w:t>
            </w:r>
          </w:p>
        </w:tc>
      </w:tr>
    </w:tbl>
    <w:p w14:paraId="53C2D3A3" w14:textId="77777777" w:rsidR="005A11E4" w:rsidRPr="00DC6DBE" w:rsidRDefault="005A11E4" w:rsidP="005E41B7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sectPr w:rsidR="005A11E4" w:rsidRPr="00DC6DBE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9F36" w14:textId="77777777" w:rsidR="00925C5A" w:rsidRDefault="00925C5A" w:rsidP="00703ADE">
      <w:pPr>
        <w:spacing w:after="0"/>
      </w:pPr>
      <w:r>
        <w:separator/>
      </w:r>
    </w:p>
  </w:endnote>
  <w:endnote w:type="continuationSeparator" w:id="0">
    <w:p w14:paraId="64DCCCB7" w14:textId="77777777" w:rsidR="00925C5A" w:rsidRDefault="00925C5A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7163" w14:textId="77777777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6F61BF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6F61BF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0EED2" w14:textId="77777777" w:rsidR="00925C5A" w:rsidRDefault="00925C5A" w:rsidP="00703ADE">
      <w:pPr>
        <w:spacing w:after="0"/>
      </w:pPr>
      <w:r>
        <w:separator/>
      </w:r>
    </w:p>
  </w:footnote>
  <w:footnote w:type="continuationSeparator" w:id="0">
    <w:p w14:paraId="3DE73296" w14:textId="77777777" w:rsidR="00925C5A" w:rsidRDefault="00925C5A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7A851A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424240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70F8D2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6EECB6DC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A6AEDF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8D4A3E"/>
    <w:multiLevelType w:val="hybridMultilevel"/>
    <w:tmpl w:val="6B52B116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712"/>
    <w:multiLevelType w:val="hybridMultilevel"/>
    <w:tmpl w:val="B04272CC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66638"/>
    <w:multiLevelType w:val="hybridMultilevel"/>
    <w:tmpl w:val="7F10F5BC"/>
    <w:lvl w:ilvl="0" w:tplc="86EC894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  <w:sz w:val="17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41756"/>
    <w:multiLevelType w:val="hybridMultilevel"/>
    <w:tmpl w:val="FEF008C4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C680B"/>
    <w:multiLevelType w:val="hybridMultilevel"/>
    <w:tmpl w:val="9F5ADF2E"/>
    <w:lvl w:ilvl="0" w:tplc="AE6ACC1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9511DC"/>
    <w:multiLevelType w:val="hybridMultilevel"/>
    <w:tmpl w:val="CE5A126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D1469"/>
    <w:multiLevelType w:val="hybridMultilevel"/>
    <w:tmpl w:val="4DDC4094"/>
    <w:lvl w:ilvl="0" w:tplc="ED44F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2067"/>
    <w:multiLevelType w:val="hybridMultilevel"/>
    <w:tmpl w:val="778473A6"/>
    <w:lvl w:ilvl="0" w:tplc="EF0E713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38112C"/>
    <w:multiLevelType w:val="hybridMultilevel"/>
    <w:tmpl w:val="0A3862A8"/>
    <w:lvl w:ilvl="0" w:tplc="610C711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7642E"/>
    <w:multiLevelType w:val="multilevel"/>
    <w:tmpl w:val="1C7E89B2"/>
    <w:lvl w:ilvl="0">
      <w:numFmt w:val="decimal"/>
      <w:lvlText w:val=""/>
      <w:lvlJc w:val="left"/>
    </w:lvl>
    <w:lvl w:ilvl="1">
      <w:numFmt w:val="decimal"/>
      <w:pStyle w:val="Naslo2ZnakZnak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524DD7"/>
    <w:multiLevelType w:val="hybridMultilevel"/>
    <w:tmpl w:val="3EDCED0C"/>
    <w:lvl w:ilvl="0" w:tplc="17E40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54CB"/>
    <w:multiLevelType w:val="hybridMultilevel"/>
    <w:tmpl w:val="81DE9DE2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55793"/>
    <w:multiLevelType w:val="multilevel"/>
    <w:tmpl w:val="E9B0A19C"/>
    <w:lvl w:ilvl="0">
      <w:numFmt w:val="decimal"/>
      <w:pStyle w:val="Naslo1ZnakZnak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D1421C"/>
    <w:multiLevelType w:val="hybridMultilevel"/>
    <w:tmpl w:val="50F2D1BA"/>
    <w:lvl w:ilvl="0" w:tplc="92C89EF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C6CF6"/>
    <w:multiLevelType w:val="hybridMultilevel"/>
    <w:tmpl w:val="F0CC73B0"/>
    <w:lvl w:ilvl="0" w:tplc="92C89E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D76DA"/>
    <w:multiLevelType w:val="hybridMultilevel"/>
    <w:tmpl w:val="ADDC57B8"/>
    <w:lvl w:ilvl="0" w:tplc="2DF210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70B64"/>
    <w:multiLevelType w:val="hybridMultilevel"/>
    <w:tmpl w:val="129899A4"/>
    <w:lvl w:ilvl="0" w:tplc="DCC03D46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 w:val="0"/>
        <w:sz w:val="19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20"/>
  </w:num>
  <w:num w:numId="3">
    <w:abstractNumId w:val="10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3"/>
  </w:num>
  <w:num w:numId="9">
    <w:abstractNumId w:val="11"/>
  </w:num>
  <w:num w:numId="10">
    <w:abstractNumId w:val="3"/>
  </w:num>
  <w:num w:numId="11">
    <w:abstractNumId w:val="17"/>
  </w:num>
  <w:num w:numId="12">
    <w:abstractNumId w:val="14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18"/>
  </w:num>
  <w:num w:numId="18">
    <w:abstractNumId w:val="15"/>
  </w:num>
  <w:num w:numId="19">
    <w:abstractNumId w:val="22"/>
  </w:num>
  <w:num w:numId="20">
    <w:abstractNumId w:val="12"/>
  </w:num>
  <w:num w:numId="21">
    <w:abstractNumId w:val="7"/>
  </w:num>
  <w:num w:numId="22">
    <w:abstractNumId w:val="21"/>
  </w:num>
  <w:num w:numId="2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MTczNTGxALINjJV0lIJTi4sz8/NACoxrAVQclBssAAAA"/>
  </w:docVars>
  <w:rsids>
    <w:rsidRoot w:val="00703ADE"/>
    <w:rsid w:val="000273EF"/>
    <w:rsid w:val="00046B40"/>
    <w:rsid w:val="00053C25"/>
    <w:rsid w:val="00054641"/>
    <w:rsid w:val="000601C5"/>
    <w:rsid w:val="000625CC"/>
    <w:rsid w:val="00067866"/>
    <w:rsid w:val="00070489"/>
    <w:rsid w:val="000761B7"/>
    <w:rsid w:val="0009073D"/>
    <w:rsid w:val="0009636B"/>
    <w:rsid w:val="000A19DD"/>
    <w:rsid w:val="000B0A40"/>
    <w:rsid w:val="000B587A"/>
    <w:rsid w:val="000B67E3"/>
    <w:rsid w:val="000B6A23"/>
    <w:rsid w:val="000B6FBA"/>
    <w:rsid w:val="000B7A59"/>
    <w:rsid w:val="000D52B8"/>
    <w:rsid w:val="000E4858"/>
    <w:rsid w:val="000E7D4E"/>
    <w:rsid w:val="000F1B74"/>
    <w:rsid w:val="000F40D2"/>
    <w:rsid w:val="000F6746"/>
    <w:rsid w:val="00103E49"/>
    <w:rsid w:val="0010411B"/>
    <w:rsid w:val="001101ED"/>
    <w:rsid w:val="001213B9"/>
    <w:rsid w:val="00126705"/>
    <w:rsid w:val="00135DE0"/>
    <w:rsid w:val="001577DF"/>
    <w:rsid w:val="00160EFE"/>
    <w:rsid w:val="0016104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1144D"/>
    <w:rsid w:val="00216CD3"/>
    <w:rsid w:val="002175B3"/>
    <w:rsid w:val="00217CEC"/>
    <w:rsid w:val="0022024F"/>
    <w:rsid w:val="002214E4"/>
    <w:rsid w:val="002235E2"/>
    <w:rsid w:val="00223EAB"/>
    <w:rsid w:val="00226313"/>
    <w:rsid w:val="0022657A"/>
    <w:rsid w:val="00250591"/>
    <w:rsid w:val="00252DF2"/>
    <w:rsid w:val="002548DB"/>
    <w:rsid w:val="00273DDF"/>
    <w:rsid w:val="00276596"/>
    <w:rsid w:val="0027778B"/>
    <w:rsid w:val="002805E7"/>
    <w:rsid w:val="0028075A"/>
    <w:rsid w:val="00287663"/>
    <w:rsid w:val="00290D01"/>
    <w:rsid w:val="00291F3F"/>
    <w:rsid w:val="00292898"/>
    <w:rsid w:val="002B19A5"/>
    <w:rsid w:val="002B452B"/>
    <w:rsid w:val="002B668D"/>
    <w:rsid w:val="002C44F3"/>
    <w:rsid w:val="002C7D0D"/>
    <w:rsid w:val="002D5455"/>
    <w:rsid w:val="002F418C"/>
    <w:rsid w:val="002F465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2794"/>
    <w:rsid w:val="003874C0"/>
    <w:rsid w:val="00397762"/>
    <w:rsid w:val="003B7EBC"/>
    <w:rsid w:val="003C3F1B"/>
    <w:rsid w:val="003C437B"/>
    <w:rsid w:val="003C5A56"/>
    <w:rsid w:val="003C61AC"/>
    <w:rsid w:val="003D3C7B"/>
    <w:rsid w:val="003D6370"/>
    <w:rsid w:val="003F0EA3"/>
    <w:rsid w:val="003F667E"/>
    <w:rsid w:val="0040317F"/>
    <w:rsid w:val="0040670E"/>
    <w:rsid w:val="004203B7"/>
    <w:rsid w:val="00424F08"/>
    <w:rsid w:val="00425A8B"/>
    <w:rsid w:val="004325CF"/>
    <w:rsid w:val="00435696"/>
    <w:rsid w:val="00441136"/>
    <w:rsid w:val="00441443"/>
    <w:rsid w:val="00451CC8"/>
    <w:rsid w:val="00467C3E"/>
    <w:rsid w:val="00467D47"/>
    <w:rsid w:val="004745FE"/>
    <w:rsid w:val="0048408C"/>
    <w:rsid w:val="0049183D"/>
    <w:rsid w:val="00495B8C"/>
    <w:rsid w:val="004A073E"/>
    <w:rsid w:val="004A1791"/>
    <w:rsid w:val="004A2BD6"/>
    <w:rsid w:val="004A30A0"/>
    <w:rsid w:val="004A33B9"/>
    <w:rsid w:val="004A4DF3"/>
    <w:rsid w:val="004A69AF"/>
    <w:rsid w:val="004B2DE9"/>
    <w:rsid w:val="004B3297"/>
    <w:rsid w:val="004B41A0"/>
    <w:rsid w:val="004B54C6"/>
    <w:rsid w:val="004B7170"/>
    <w:rsid w:val="004C1D5D"/>
    <w:rsid w:val="004C28F8"/>
    <w:rsid w:val="004C66E8"/>
    <w:rsid w:val="004D11DE"/>
    <w:rsid w:val="004E6B8F"/>
    <w:rsid w:val="004E7674"/>
    <w:rsid w:val="004F3585"/>
    <w:rsid w:val="004F5050"/>
    <w:rsid w:val="00500DB6"/>
    <w:rsid w:val="005029C6"/>
    <w:rsid w:val="00503D99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E41B7"/>
    <w:rsid w:val="005F16AE"/>
    <w:rsid w:val="005F49D5"/>
    <w:rsid w:val="00600618"/>
    <w:rsid w:val="006016DF"/>
    <w:rsid w:val="006069A0"/>
    <w:rsid w:val="00606BB3"/>
    <w:rsid w:val="006135EC"/>
    <w:rsid w:val="0061450A"/>
    <w:rsid w:val="0061471B"/>
    <w:rsid w:val="006261BD"/>
    <w:rsid w:val="00627C0D"/>
    <w:rsid w:val="00627E51"/>
    <w:rsid w:val="00645458"/>
    <w:rsid w:val="00654BA3"/>
    <w:rsid w:val="006644FF"/>
    <w:rsid w:val="0067410C"/>
    <w:rsid w:val="00683B5F"/>
    <w:rsid w:val="00685B29"/>
    <w:rsid w:val="006863A2"/>
    <w:rsid w:val="0068792F"/>
    <w:rsid w:val="0069578E"/>
    <w:rsid w:val="0069593B"/>
    <w:rsid w:val="00697296"/>
    <w:rsid w:val="006A20F0"/>
    <w:rsid w:val="006B1FA4"/>
    <w:rsid w:val="006B5AC7"/>
    <w:rsid w:val="006C0883"/>
    <w:rsid w:val="006C734C"/>
    <w:rsid w:val="006D028C"/>
    <w:rsid w:val="006E1095"/>
    <w:rsid w:val="006E6646"/>
    <w:rsid w:val="006E732F"/>
    <w:rsid w:val="006F2D77"/>
    <w:rsid w:val="006F61BF"/>
    <w:rsid w:val="0070161E"/>
    <w:rsid w:val="00701B0E"/>
    <w:rsid w:val="00703ADE"/>
    <w:rsid w:val="00703C3D"/>
    <w:rsid w:val="00707193"/>
    <w:rsid w:val="00714E30"/>
    <w:rsid w:val="0072193C"/>
    <w:rsid w:val="007264DD"/>
    <w:rsid w:val="00743D06"/>
    <w:rsid w:val="0074545B"/>
    <w:rsid w:val="00754FB9"/>
    <w:rsid w:val="0076751A"/>
    <w:rsid w:val="00772491"/>
    <w:rsid w:val="00783DA3"/>
    <w:rsid w:val="00784B83"/>
    <w:rsid w:val="0078644D"/>
    <w:rsid w:val="00792301"/>
    <w:rsid w:val="0079494D"/>
    <w:rsid w:val="007A28AA"/>
    <w:rsid w:val="007A29FA"/>
    <w:rsid w:val="007A77A3"/>
    <w:rsid w:val="007B0935"/>
    <w:rsid w:val="007C7B54"/>
    <w:rsid w:val="007C7DAA"/>
    <w:rsid w:val="007E49AE"/>
    <w:rsid w:val="007E775A"/>
    <w:rsid w:val="007F2C61"/>
    <w:rsid w:val="00802619"/>
    <w:rsid w:val="008102C2"/>
    <w:rsid w:val="00811EFC"/>
    <w:rsid w:val="00811FB5"/>
    <w:rsid w:val="008157D7"/>
    <w:rsid w:val="008320B1"/>
    <w:rsid w:val="00844A4A"/>
    <w:rsid w:val="00847982"/>
    <w:rsid w:val="00855585"/>
    <w:rsid w:val="00863826"/>
    <w:rsid w:val="00864972"/>
    <w:rsid w:val="00873A16"/>
    <w:rsid w:val="00873F0D"/>
    <w:rsid w:val="00874CA5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25C5A"/>
    <w:rsid w:val="009322AD"/>
    <w:rsid w:val="009377F1"/>
    <w:rsid w:val="00957F7A"/>
    <w:rsid w:val="00961B35"/>
    <w:rsid w:val="00961C9A"/>
    <w:rsid w:val="0096279B"/>
    <w:rsid w:val="009737D7"/>
    <w:rsid w:val="00991CF4"/>
    <w:rsid w:val="009958CA"/>
    <w:rsid w:val="00997A15"/>
    <w:rsid w:val="009B077A"/>
    <w:rsid w:val="009B26AB"/>
    <w:rsid w:val="009B5812"/>
    <w:rsid w:val="009C211B"/>
    <w:rsid w:val="009C276B"/>
    <w:rsid w:val="009D11AD"/>
    <w:rsid w:val="009D6D7A"/>
    <w:rsid w:val="009E7CBD"/>
    <w:rsid w:val="009F1551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A0C5E"/>
    <w:rsid w:val="00AB5F3C"/>
    <w:rsid w:val="00AC243A"/>
    <w:rsid w:val="00AC50D7"/>
    <w:rsid w:val="00AC7DE5"/>
    <w:rsid w:val="00AF382F"/>
    <w:rsid w:val="00B01725"/>
    <w:rsid w:val="00B05658"/>
    <w:rsid w:val="00B07275"/>
    <w:rsid w:val="00B07A68"/>
    <w:rsid w:val="00B07A96"/>
    <w:rsid w:val="00B11D06"/>
    <w:rsid w:val="00B32886"/>
    <w:rsid w:val="00B33679"/>
    <w:rsid w:val="00B41FC2"/>
    <w:rsid w:val="00B44133"/>
    <w:rsid w:val="00B63E7C"/>
    <w:rsid w:val="00B70B70"/>
    <w:rsid w:val="00B733D9"/>
    <w:rsid w:val="00B850FA"/>
    <w:rsid w:val="00B857B7"/>
    <w:rsid w:val="00BB0F97"/>
    <w:rsid w:val="00BB17F4"/>
    <w:rsid w:val="00BC1823"/>
    <w:rsid w:val="00BC28CF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0926"/>
    <w:rsid w:val="00C06952"/>
    <w:rsid w:val="00C20ECB"/>
    <w:rsid w:val="00C23384"/>
    <w:rsid w:val="00C23FE4"/>
    <w:rsid w:val="00C26205"/>
    <w:rsid w:val="00C31227"/>
    <w:rsid w:val="00C31296"/>
    <w:rsid w:val="00C35629"/>
    <w:rsid w:val="00C4086F"/>
    <w:rsid w:val="00C40983"/>
    <w:rsid w:val="00C63A16"/>
    <w:rsid w:val="00C65B60"/>
    <w:rsid w:val="00C72B00"/>
    <w:rsid w:val="00C73CAE"/>
    <w:rsid w:val="00C76C9B"/>
    <w:rsid w:val="00C83735"/>
    <w:rsid w:val="00C83ACF"/>
    <w:rsid w:val="00C92969"/>
    <w:rsid w:val="00CB4FA1"/>
    <w:rsid w:val="00CC2E15"/>
    <w:rsid w:val="00CC7B6E"/>
    <w:rsid w:val="00CC7D6E"/>
    <w:rsid w:val="00CD3B38"/>
    <w:rsid w:val="00CD40B9"/>
    <w:rsid w:val="00CE0FA9"/>
    <w:rsid w:val="00CE1CCB"/>
    <w:rsid w:val="00CE20E4"/>
    <w:rsid w:val="00CE4CA3"/>
    <w:rsid w:val="00CF7D8F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434A7"/>
    <w:rsid w:val="00D56DEF"/>
    <w:rsid w:val="00D634CF"/>
    <w:rsid w:val="00D656E4"/>
    <w:rsid w:val="00D732C6"/>
    <w:rsid w:val="00D822FB"/>
    <w:rsid w:val="00D94920"/>
    <w:rsid w:val="00DC294C"/>
    <w:rsid w:val="00DC6DBE"/>
    <w:rsid w:val="00DD03F7"/>
    <w:rsid w:val="00DD2CB6"/>
    <w:rsid w:val="00DF0B31"/>
    <w:rsid w:val="00DF39C7"/>
    <w:rsid w:val="00E02275"/>
    <w:rsid w:val="00E03C39"/>
    <w:rsid w:val="00E12B7D"/>
    <w:rsid w:val="00E130C6"/>
    <w:rsid w:val="00E24F2B"/>
    <w:rsid w:val="00E26379"/>
    <w:rsid w:val="00E32D7E"/>
    <w:rsid w:val="00E3517F"/>
    <w:rsid w:val="00E61420"/>
    <w:rsid w:val="00E61E60"/>
    <w:rsid w:val="00E6704B"/>
    <w:rsid w:val="00E70FEA"/>
    <w:rsid w:val="00E76395"/>
    <w:rsid w:val="00E76AEB"/>
    <w:rsid w:val="00E84030"/>
    <w:rsid w:val="00E8487A"/>
    <w:rsid w:val="00E856E6"/>
    <w:rsid w:val="00E919CA"/>
    <w:rsid w:val="00E935CE"/>
    <w:rsid w:val="00EB6B47"/>
    <w:rsid w:val="00EB7E3F"/>
    <w:rsid w:val="00EC0DAE"/>
    <w:rsid w:val="00ED5E54"/>
    <w:rsid w:val="00ED74DD"/>
    <w:rsid w:val="00EE3E7F"/>
    <w:rsid w:val="00EF335F"/>
    <w:rsid w:val="00EF375E"/>
    <w:rsid w:val="00F02874"/>
    <w:rsid w:val="00F02C19"/>
    <w:rsid w:val="00F12416"/>
    <w:rsid w:val="00F128BD"/>
    <w:rsid w:val="00F36598"/>
    <w:rsid w:val="00F4075A"/>
    <w:rsid w:val="00F44BC1"/>
    <w:rsid w:val="00F50C4F"/>
    <w:rsid w:val="00F51390"/>
    <w:rsid w:val="00F57C69"/>
    <w:rsid w:val="00F734B4"/>
    <w:rsid w:val="00F734DA"/>
    <w:rsid w:val="00F74CD5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3A53"/>
    <w:rsid w:val="00FE4F6B"/>
    <w:rsid w:val="00FE50A1"/>
    <w:rsid w:val="00FE5CDE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9BAFE1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qFormat/>
    <w:rsid w:val="00287663"/>
    <w:pPr>
      <w:keepNext/>
      <w:autoSpaceDE w:val="0"/>
      <w:spacing w:after="0"/>
      <w:outlineLvl w:val="0"/>
    </w:pPr>
    <w:rPr>
      <w:rFonts w:ascii="Arial" w:hAnsi="Arial" w:cs="Arial"/>
      <w:b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Sprotnaopomba-besedilo">
    <w:name w:val="footnote text"/>
    <w:basedOn w:val="Navaden"/>
    <w:link w:val="Sprotnaopomba-besediloZnak"/>
    <w:semiHidden/>
    <w:rsid w:val="00B850FA"/>
    <w:pPr>
      <w:spacing w:after="0"/>
    </w:pPr>
    <w:rPr>
      <w:rFonts w:ascii="Arial" w:hAnsi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850FA"/>
    <w:rPr>
      <w:rFonts w:ascii="Arial" w:eastAsia="Times New Roman" w:hAnsi="Arial" w:cs="Times New Roman"/>
      <w:sz w:val="20"/>
      <w:szCs w:val="20"/>
    </w:rPr>
  </w:style>
  <w:style w:type="character" w:customStyle="1" w:styleId="li-publisher">
    <w:name w:val="li-publisher"/>
    <w:basedOn w:val="Privzetapisavaodstavka"/>
    <w:rsid w:val="00441443"/>
  </w:style>
  <w:style w:type="paragraph" w:styleId="Navadensplet">
    <w:name w:val="Normal (Web)"/>
    <w:basedOn w:val="Navaden"/>
    <w:uiPriority w:val="99"/>
    <w:rsid w:val="004745FE"/>
    <w:pPr>
      <w:spacing w:after="0"/>
    </w:pPr>
    <w:rPr>
      <w:rFonts w:ascii="Times New Roman" w:hAnsi="Times New Roman"/>
      <w:b/>
      <w:sz w:val="24"/>
      <w:szCs w:val="24"/>
      <w:lang w:val="en-GB"/>
    </w:rPr>
  </w:style>
  <w:style w:type="character" w:styleId="Hiperpovezava">
    <w:name w:val="Hyperlink"/>
    <w:rsid w:val="00C31296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Default">
    <w:name w:val="Default"/>
    <w:rsid w:val="00C312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customStyle="1" w:styleId="alineja">
    <w:name w:val="alineja"/>
    <w:basedOn w:val="Navaden"/>
    <w:rsid w:val="00AB5F3C"/>
    <w:pPr>
      <w:numPr>
        <w:ilvl w:val="1"/>
        <w:numId w:val="5"/>
      </w:numPr>
      <w:spacing w:after="0"/>
      <w:jc w:val="both"/>
    </w:pPr>
    <w:rPr>
      <w:rFonts w:ascii="Times New Roman" w:hAnsi="Times New Roman"/>
      <w:sz w:val="24"/>
      <w:szCs w:val="20"/>
    </w:rPr>
  </w:style>
  <w:style w:type="paragraph" w:styleId="Otevilenseznam">
    <w:name w:val="List Number"/>
    <w:basedOn w:val="Navaden"/>
    <w:rsid w:val="00287663"/>
    <w:pPr>
      <w:numPr>
        <w:numId w:val="10"/>
      </w:numPr>
      <w:spacing w:after="0"/>
    </w:pPr>
    <w:rPr>
      <w:rFonts w:ascii="Arial" w:hAnsi="Arial" w:cs="Arial"/>
      <w:b/>
      <w:sz w:val="20"/>
      <w:szCs w:val="20"/>
      <w:lang w:val="en-GB"/>
    </w:rPr>
  </w:style>
  <w:style w:type="character" w:customStyle="1" w:styleId="Naslov1Znak">
    <w:name w:val="Naslov 1 Znak"/>
    <w:aliases w:val="Naslov 1 Znak Znak Znak"/>
    <w:basedOn w:val="Privzetapisavaodstavka"/>
    <w:link w:val="Naslov1"/>
    <w:rsid w:val="00287663"/>
    <w:rPr>
      <w:rFonts w:ascii="Arial" w:eastAsia="Times New Roman" w:hAnsi="Arial" w:cs="Arial"/>
      <w:b/>
      <w:lang w:val="en-GB"/>
    </w:rPr>
  </w:style>
  <w:style w:type="paragraph" w:styleId="HTML-oblikovano">
    <w:name w:val="HTML Preformatted"/>
    <w:basedOn w:val="Navaden"/>
    <w:link w:val="HTML-oblikovanoZnak"/>
    <w:rsid w:val="00287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rsid w:val="00287663"/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ps">
    <w:name w:val="hps"/>
    <w:basedOn w:val="Privzetapisavaodstavka"/>
    <w:rsid w:val="00287663"/>
  </w:style>
  <w:style w:type="paragraph" w:customStyle="1" w:styleId="Naslo1ZnakZnak">
    <w:name w:val="Naslo 1 Znak Znak"/>
    <w:basedOn w:val="Navaden"/>
    <w:next w:val="Navaden"/>
    <w:rsid w:val="00287663"/>
    <w:pPr>
      <w:numPr>
        <w:numId w:val="11"/>
      </w:numPr>
      <w:spacing w:after="0"/>
      <w:jc w:val="both"/>
    </w:pPr>
    <w:rPr>
      <w:rFonts w:ascii="Arial" w:hAnsi="Arial" w:cs="Arial"/>
      <w:b/>
      <w:caps/>
      <w:sz w:val="28"/>
      <w:szCs w:val="28"/>
      <w:u w:val="single"/>
    </w:rPr>
  </w:style>
  <w:style w:type="character" w:customStyle="1" w:styleId="a-size-large">
    <w:name w:val="a-size-large"/>
    <w:basedOn w:val="Privzetapisavaodstavka"/>
    <w:rsid w:val="00287663"/>
  </w:style>
  <w:style w:type="character" w:customStyle="1" w:styleId="contribution">
    <w:name w:val="contribution"/>
    <w:basedOn w:val="Privzetapisavaodstavka"/>
    <w:rsid w:val="00287663"/>
  </w:style>
  <w:style w:type="paragraph" w:customStyle="1" w:styleId="Naslo2ZnakZnak">
    <w:name w:val="Naslo 2 Znak Znak"/>
    <w:basedOn w:val="Naslo1ZnakZnak"/>
    <w:next w:val="Navaden"/>
    <w:autoRedefine/>
    <w:rsid w:val="00287663"/>
    <w:pPr>
      <w:numPr>
        <w:ilvl w:val="1"/>
        <w:numId w:val="12"/>
      </w:numPr>
      <w:jc w:val="left"/>
    </w:pPr>
    <w:rPr>
      <w:caps w:val="0"/>
      <w:sz w:val="24"/>
      <w:szCs w:val="24"/>
      <w:u w:val="none"/>
    </w:rPr>
  </w:style>
  <w:style w:type="paragraph" w:styleId="Otevilenseznam3">
    <w:name w:val="List Number 3"/>
    <w:basedOn w:val="Navaden"/>
    <w:rsid w:val="00287663"/>
    <w:pPr>
      <w:numPr>
        <w:numId w:val="13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4">
    <w:name w:val="List Number 4"/>
    <w:basedOn w:val="Navaden"/>
    <w:rsid w:val="00287663"/>
    <w:pPr>
      <w:numPr>
        <w:numId w:val="14"/>
      </w:numPr>
      <w:spacing w:after="0"/>
    </w:pPr>
    <w:rPr>
      <w:rFonts w:ascii="Arial" w:hAnsi="Arial" w:cs="Arial"/>
      <w:b/>
      <w:sz w:val="20"/>
      <w:szCs w:val="20"/>
    </w:rPr>
  </w:style>
  <w:style w:type="paragraph" w:styleId="Otevilenseznam5">
    <w:name w:val="List Number 5"/>
    <w:basedOn w:val="Navaden"/>
    <w:rsid w:val="00287663"/>
    <w:pPr>
      <w:numPr>
        <w:numId w:val="15"/>
      </w:numPr>
      <w:spacing w:after="0"/>
    </w:pPr>
    <w:rPr>
      <w:rFonts w:ascii="Arial" w:hAnsi="Arial" w:cs="Arial"/>
      <w:b/>
      <w:sz w:val="20"/>
      <w:szCs w:val="20"/>
    </w:rPr>
  </w:style>
  <w:style w:type="paragraph" w:styleId="Oznaenseznam">
    <w:name w:val="List Bullet"/>
    <w:basedOn w:val="Navaden"/>
    <w:autoRedefine/>
    <w:rsid w:val="00287663"/>
    <w:pPr>
      <w:numPr>
        <w:numId w:val="16"/>
      </w:numPr>
      <w:spacing w:after="0"/>
    </w:pPr>
    <w:rPr>
      <w:rFonts w:ascii="Arial" w:hAnsi="Arial" w:cs="Arial"/>
      <w:b/>
      <w:sz w:val="20"/>
      <w:szCs w:val="20"/>
    </w:rPr>
  </w:style>
  <w:style w:type="paragraph" w:styleId="Revizija">
    <w:name w:val="Revision"/>
    <w:hidden/>
    <w:uiPriority w:val="99"/>
    <w:semiHidden/>
    <w:rsid w:val="00054641"/>
    <w:pPr>
      <w:spacing w:after="0" w:line="240" w:lineRule="auto"/>
    </w:pPr>
    <w:rPr>
      <w:rFonts w:ascii="Calibri" w:eastAsia="Times New Roman" w:hAnsi="Calibri" w:cs="Times New Roman"/>
    </w:rPr>
  </w:style>
  <w:style w:type="character" w:styleId="SledenaHiperpovezava">
    <w:name w:val="FollowedHyperlink"/>
    <w:basedOn w:val="Privzetapisavaodstavka"/>
    <w:uiPriority w:val="99"/>
    <w:semiHidden/>
    <w:unhideWhenUsed/>
    <w:rsid w:val="00783DA3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D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6632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39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9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13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0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324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1515</Words>
  <Characters>9844</Characters>
  <Application>Microsoft Office Word</Application>
  <DocSecurity>0</DocSecurity>
  <Lines>82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2026-01-22T09:12:00Z</dcterms:created>
  <dcterms:modified xsi:type="dcterms:W3CDTF">2026-03-25T09:18:00Z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38d8636b884cc32e56d204c6e4c837a98042e9e2a908faae5368d3e6116cc8cf</vt:lpwstr>
  </property>
</Properties>
</file>