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1" w:type="dxa"/>
        <w:tblInd w:w="-61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"/>
        <w:gridCol w:w="1326"/>
        <w:gridCol w:w="373"/>
        <w:gridCol w:w="475"/>
        <w:gridCol w:w="497"/>
        <w:gridCol w:w="464"/>
        <w:gridCol w:w="674"/>
        <w:gridCol w:w="212"/>
        <w:gridCol w:w="394"/>
        <w:gridCol w:w="56"/>
        <w:gridCol w:w="126"/>
        <w:gridCol w:w="169"/>
        <w:gridCol w:w="56"/>
        <w:gridCol w:w="685"/>
        <w:gridCol w:w="105"/>
        <w:gridCol w:w="105"/>
        <w:gridCol w:w="963"/>
        <w:gridCol w:w="357"/>
        <w:gridCol w:w="1161"/>
        <w:gridCol w:w="221"/>
        <w:gridCol w:w="225"/>
        <w:gridCol w:w="625"/>
        <w:gridCol w:w="56"/>
      </w:tblGrid>
      <w:tr w:rsidR="005A11E4" w:rsidRPr="005D1D37" w14:paraId="605D34DD" w14:textId="77777777" w:rsidTr="005D1D37">
        <w:trPr>
          <w:gridBefore w:val="1"/>
          <w:wBefore w:w="56" w:type="dxa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D1D37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60607F" w:rsidRPr="005D1D37" w14:paraId="36413FBF" w14:textId="77777777" w:rsidTr="005D1D37">
        <w:trPr>
          <w:gridBefore w:val="1"/>
          <w:wBefore w:w="56" w:type="dxa"/>
        </w:trPr>
        <w:tc>
          <w:tcPr>
            <w:tcW w:w="1699" w:type="dxa"/>
            <w:gridSpan w:val="2"/>
          </w:tcPr>
          <w:p w14:paraId="72C1DC59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6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B854E2A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MATEMATIČNI MODELI IN METODE V POSLOVNIH LOGISTIČNIH SISTEMIH</w:t>
            </w:r>
          </w:p>
        </w:tc>
      </w:tr>
      <w:tr w:rsidR="0060607F" w:rsidRPr="005D1D37" w14:paraId="12BB578E" w14:textId="77777777" w:rsidTr="005D1D37">
        <w:trPr>
          <w:gridBefore w:val="1"/>
          <w:wBefore w:w="56" w:type="dxa"/>
        </w:trPr>
        <w:tc>
          <w:tcPr>
            <w:tcW w:w="1699" w:type="dxa"/>
            <w:gridSpan w:val="2"/>
          </w:tcPr>
          <w:p w14:paraId="003758B5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6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4149193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MATHEMATICAL MODELS AND METHODS IN BUSINESS LOGISTIC SYSTEMS</w:t>
            </w:r>
          </w:p>
        </w:tc>
      </w:tr>
      <w:tr w:rsidR="005A11E4" w:rsidRPr="005D1D37" w14:paraId="0BB44B80" w14:textId="77777777" w:rsidTr="005D1D37">
        <w:trPr>
          <w:gridBefore w:val="1"/>
          <w:wBefore w:w="56" w:type="dxa"/>
        </w:trPr>
        <w:tc>
          <w:tcPr>
            <w:tcW w:w="3135" w:type="dxa"/>
            <w:gridSpan w:val="5"/>
            <w:vAlign w:val="center"/>
          </w:tcPr>
          <w:p w14:paraId="381AAD97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545" w:type="dxa"/>
            <w:gridSpan w:val="11"/>
            <w:vAlign w:val="center"/>
          </w:tcPr>
          <w:p w14:paraId="72824CE0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CC111C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27" w:type="dxa"/>
            <w:gridSpan w:val="4"/>
            <w:vAlign w:val="center"/>
          </w:tcPr>
          <w:p w14:paraId="2EB909A8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D1D37" w14:paraId="5EC26D3D" w14:textId="77777777" w:rsidTr="005D1D37">
        <w:trPr>
          <w:gridBefore w:val="1"/>
          <w:wBefore w:w="56" w:type="dxa"/>
        </w:trPr>
        <w:tc>
          <w:tcPr>
            <w:tcW w:w="3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5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0607F" w:rsidRPr="005D1D37" w14:paraId="23FFFBED" w14:textId="77777777" w:rsidTr="005D1D37">
        <w:trPr>
          <w:gridBefore w:val="1"/>
          <w:wBefore w:w="56" w:type="dxa"/>
          <w:trHeight w:val="318"/>
        </w:trPr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001D42C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718599C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C32B113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</w:tr>
      <w:tr w:rsidR="0060607F" w:rsidRPr="005D1D37" w14:paraId="4AE235F2" w14:textId="77777777" w:rsidTr="005D1D37">
        <w:trPr>
          <w:gridBefore w:val="1"/>
          <w:wBefore w:w="56" w:type="dxa"/>
          <w:trHeight w:val="318"/>
        </w:trPr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1355FA6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FC02C66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A7420B1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</w:tr>
      <w:tr w:rsidR="005A11E4" w:rsidRPr="005D1D37" w14:paraId="1E148366" w14:textId="77777777" w:rsidTr="005D1D37">
        <w:trPr>
          <w:gridBefore w:val="1"/>
          <w:wBefore w:w="56" w:type="dxa"/>
          <w:trHeight w:val="103"/>
        </w:trPr>
        <w:tc>
          <w:tcPr>
            <w:tcW w:w="9325" w:type="dxa"/>
            <w:gridSpan w:val="22"/>
          </w:tcPr>
          <w:p w14:paraId="633C5EFA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0607F" w:rsidRPr="005D1D37" w14:paraId="53363266" w14:textId="77777777" w:rsidTr="005D1D37">
        <w:trPr>
          <w:gridBefore w:val="1"/>
          <w:wBefore w:w="56" w:type="dxa"/>
          <w:trHeight w:val="270"/>
        </w:trPr>
        <w:tc>
          <w:tcPr>
            <w:tcW w:w="5717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9F4EFCC" w:rsidR="0060607F" w:rsidRPr="005D1D37" w:rsidRDefault="00B342D0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60607F" w:rsidRPr="005D1D37" w14:paraId="6024E532" w14:textId="77777777" w:rsidTr="005D1D37">
        <w:trPr>
          <w:gridBefore w:val="1"/>
          <w:wBefore w:w="56" w:type="dxa"/>
          <w:trHeight w:val="270"/>
        </w:trPr>
        <w:tc>
          <w:tcPr>
            <w:tcW w:w="5717" w:type="dxa"/>
            <w:gridSpan w:val="15"/>
            <w:vMerge/>
          </w:tcPr>
          <w:p w14:paraId="6138598E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3CBCD03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60607F" w:rsidRPr="005D1D37" w14:paraId="6B1B7C32" w14:textId="77777777" w:rsidTr="005D1D37">
        <w:trPr>
          <w:gridBefore w:val="1"/>
          <w:wBefore w:w="56" w:type="dxa"/>
        </w:trPr>
        <w:tc>
          <w:tcPr>
            <w:tcW w:w="5717" w:type="dxa"/>
            <w:gridSpan w:val="15"/>
          </w:tcPr>
          <w:p w14:paraId="02799658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0607F" w:rsidRPr="005D1D37" w14:paraId="5DB8E894" w14:textId="77777777" w:rsidTr="005D1D37">
        <w:trPr>
          <w:gridBefore w:val="1"/>
          <w:wBefore w:w="56" w:type="dxa"/>
        </w:trPr>
        <w:tc>
          <w:tcPr>
            <w:tcW w:w="57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7C84BF1B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5D1D37" w14:paraId="5FC48C48" w14:textId="77777777" w:rsidTr="005D1D37">
        <w:trPr>
          <w:gridBefore w:val="1"/>
          <w:wBefore w:w="56" w:type="dxa"/>
        </w:trPr>
        <w:tc>
          <w:tcPr>
            <w:tcW w:w="9325" w:type="dxa"/>
            <w:gridSpan w:val="22"/>
          </w:tcPr>
          <w:p w14:paraId="19BF6CFB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D1D37" w14:paraId="69EB4177" w14:textId="77777777" w:rsidTr="005D1D37">
        <w:trPr>
          <w:gridBefore w:val="1"/>
          <w:wBefore w:w="56" w:type="dxa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225" w:type="dxa"/>
            <w:vAlign w:val="center"/>
          </w:tcPr>
          <w:p w14:paraId="74E21441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D1D37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0607F" w:rsidRPr="005D1D37" w14:paraId="6C3C0BA4" w14:textId="77777777" w:rsidTr="005D1D37">
        <w:trPr>
          <w:gridBefore w:val="1"/>
          <w:wBefore w:w="56" w:type="dxa"/>
          <w:trHeight w:val="318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8B78" w14:textId="50193B0D" w:rsidR="0060607F" w:rsidRPr="005D1D37" w:rsidRDefault="002C2CE4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28</w:t>
            </w:r>
            <w:r w:rsidR="0060607F"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a-P</w:t>
            </w:r>
          </w:p>
          <w:p w14:paraId="013B6061" w14:textId="2C3CC892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</w:t>
            </w:r>
            <w:r w:rsidR="002C2CE4"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e-P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015" w14:textId="088190D2" w:rsidR="0060607F" w:rsidRPr="005D1D37" w:rsidRDefault="002C2CE4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28</w:t>
            </w:r>
            <w:r w:rsidR="0060607F"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  <w:p w14:paraId="6C84A960" w14:textId="4CE1488A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</w:t>
            </w:r>
            <w:r w:rsidR="002C2CE4"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</w:tc>
        <w:tc>
          <w:tcPr>
            <w:tcW w:w="1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6E387AFC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7D2F9E1" w:rsidR="0060607F" w:rsidRPr="005D1D37" w:rsidRDefault="0060607F" w:rsidP="006060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60607F" w:rsidRPr="005D1D37" w14:paraId="33611488" w14:textId="77777777" w:rsidTr="005D1D37">
        <w:trPr>
          <w:gridBefore w:val="1"/>
          <w:wBefore w:w="56" w:type="dxa"/>
          <w:trHeight w:val="318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455DD69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0607F" w:rsidRPr="005D1D37" w14:paraId="3AFC1636" w14:textId="77777777" w:rsidTr="005D1D37">
        <w:trPr>
          <w:gridBefore w:val="1"/>
          <w:wBefore w:w="56" w:type="dxa"/>
          <w:trHeight w:val="318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0607F" w:rsidRPr="005D1D37" w:rsidRDefault="0060607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D1D37" w14:paraId="6194853B" w14:textId="77777777" w:rsidTr="005D1D37">
        <w:trPr>
          <w:gridBefore w:val="1"/>
          <w:wBefore w:w="56" w:type="dxa"/>
        </w:trPr>
        <w:tc>
          <w:tcPr>
            <w:tcW w:w="9325" w:type="dxa"/>
            <w:gridSpan w:val="22"/>
          </w:tcPr>
          <w:p w14:paraId="73ECE184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D1D37" w14:paraId="695F6595" w14:textId="77777777" w:rsidTr="005D1D37">
        <w:trPr>
          <w:gridBefore w:val="1"/>
          <w:wBefore w:w="56" w:type="dxa"/>
        </w:trPr>
        <w:tc>
          <w:tcPr>
            <w:tcW w:w="3135" w:type="dxa"/>
            <w:gridSpan w:val="5"/>
          </w:tcPr>
          <w:p w14:paraId="19C80114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F60E8A5" w:rsidR="005A11E4" w:rsidRPr="005D1D37" w:rsidRDefault="4681C9EF" w:rsidP="3D2D73B8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BENJAMIN MARCEN</w:t>
            </w:r>
          </w:p>
        </w:tc>
      </w:tr>
      <w:tr w:rsidR="005A11E4" w:rsidRPr="005D1D37" w14:paraId="373ADDF1" w14:textId="77777777" w:rsidTr="005D1D37">
        <w:trPr>
          <w:gridBefore w:val="1"/>
          <w:wBefore w:w="56" w:type="dxa"/>
        </w:trPr>
        <w:tc>
          <w:tcPr>
            <w:tcW w:w="9325" w:type="dxa"/>
            <w:gridSpan w:val="22"/>
          </w:tcPr>
          <w:p w14:paraId="0BC8F3BA" w14:textId="77777777" w:rsidR="005A11E4" w:rsidRPr="005D1D37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0607F" w:rsidRPr="005D1D37" w14:paraId="2546E5AF" w14:textId="77777777" w:rsidTr="005D1D37">
        <w:trPr>
          <w:gridBefore w:val="1"/>
          <w:wBefore w:w="56" w:type="dxa"/>
        </w:trPr>
        <w:tc>
          <w:tcPr>
            <w:tcW w:w="2174" w:type="dxa"/>
            <w:gridSpan w:val="3"/>
            <w:vMerge w:val="restart"/>
          </w:tcPr>
          <w:p w14:paraId="6861494E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297" w:type="dxa"/>
            <w:gridSpan w:val="6"/>
          </w:tcPr>
          <w:p w14:paraId="77461E9B" w14:textId="77777777" w:rsidR="0060607F" w:rsidRPr="005D1D37" w:rsidRDefault="0060607F" w:rsidP="0060607F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782B302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0607F" w:rsidRPr="005D1D37" w14:paraId="0712B376" w14:textId="77777777" w:rsidTr="005D1D37">
        <w:trPr>
          <w:gridBefore w:val="1"/>
          <w:wBefore w:w="56" w:type="dxa"/>
          <w:trHeight w:val="215"/>
        </w:trPr>
        <w:tc>
          <w:tcPr>
            <w:tcW w:w="2174" w:type="dxa"/>
            <w:gridSpan w:val="3"/>
            <w:vMerge/>
            <w:vAlign w:val="center"/>
          </w:tcPr>
          <w:p w14:paraId="2BE63940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97" w:type="dxa"/>
            <w:gridSpan w:val="6"/>
          </w:tcPr>
          <w:p w14:paraId="3A2F1B73" w14:textId="77777777" w:rsidR="0060607F" w:rsidRPr="005D1D37" w:rsidRDefault="0060607F" w:rsidP="0060607F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C1A397B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5D1D37" w14:paraId="0BB418C6" w14:textId="77777777" w:rsidTr="005D1D37">
        <w:trPr>
          <w:gridBefore w:val="1"/>
          <w:wBefore w:w="56" w:type="dxa"/>
        </w:trPr>
        <w:tc>
          <w:tcPr>
            <w:tcW w:w="45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225" w:type="dxa"/>
            <w:gridSpan w:val="2"/>
          </w:tcPr>
          <w:p w14:paraId="6CE3FFA8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384AEB" w:rsidRPr="00384AEB" w14:paraId="273ADA0E" w14:textId="77777777" w:rsidTr="005D1D37">
        <w:trPr>
          <w:gridBefore w:val="1"/>
          <w:wBefore w:w="56" w:type="dxa"/>
          <w:trHeight w:val="275"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52D" w14:textId="77777777" w:rsidR="00FA5FC6" w:rsidRPr="00384AEB" w:rsidRDefault="00FA5FC6" w:rsidP="00FA5FC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7D75FF40" w:rsidR="00FA5FC6" w:rsidRPr="00384AEB" w:rsidRDefault="00FA5FC6" w:rsidP="00FA5FC6">
            <w:pPr>
              <w:spacing w:after="0"/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Zagovor raziskovalne naloge  je pogoj za pristop k izpitu.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384AE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0FE" w14:textId="77777777" w:rsidR="00FA5FC6" w:rsidRPr="00384AEB" w:rsidRDefault="00FA5FC6" w:rsidP="00FA5FC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27DE25D0" w:rsidR="00FA5FC6" w:rsidRPr="00384AEB" w:rsidRDefault="00FA5FC6" w:rsidP="00FA5FC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Presentation of research paper is a prerequisite for taking the exam.</w:t>
            </w:r>
          </w:p>
        </w:tc>
      </w:tr>
      <w:tr w:rsidR="005A11E4" w:rsidRPr="005D1D37" w14:paraId="32638BBD" w14:textId="77777777" w:rsidTr="005D1D37">
        <w:trPr>
          <w:gridBefore w:val="1"/>
          <w:wBefore w:w="56" w:type="dxa"/>
          <w:trHeight w:val="137"/>
        </w:trPr>
        <w:tc>
          <w:tcPr>
            <w:tcW w:w="44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</w:tcPr>
          <w:p w14:paraId="41A73D15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5A11E4" w:rsidRPr="005D1D37" w14:paraId="4EDFC7EE" w14:textId="77777777" w:rsidTr="005D1D37">
        <w:trPr>
          <w:gridAfter w:val="1"/>
          <w:wAfter w:w="56" w:type="dxa"/>
          <w:trHeight w:val="1119"/>
        </w:trPr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F9E" w14:textId="55F1F8FF" w:rsidR="000A1541" w:rsidRPr="005D1D37" w:rsidRDefault="1D051FAA" w:rsidP="00384AE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Osnove teorije verjetnosti in verjetnostne porazdelitve.</w:t>
            </w:r>
          </w:p>
          <w:p w14:paraId="4DAFCA49" w14:textId="77777777" w:rsidR="005D1D37" w:rsidRPr="005D1D37" w:rsidRDefault="42626D72" w:rsidP="00384AEB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Regresija in napovedovanje v operacijskih raziskavah: </w:t>
            </w:r>
            <w:r w:rsidR="00625963" w:rsidRPr="005D1D3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C9DC312" w14:textId="5D0CC35E" w:rsidR="00625963" w:rsidRPr="005D1D37" w:rsidRDefault="42626D72" w:rsidP="00384AEB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Predstavitev modeliranja z enostavno linearno regresijo in regresijsko premico, Predstavitev modeliranja z multiplo linearno regresijo, Primeri iz operacijskih raziskav.</w:t>
            </w:r>
          </w:p>
          <w:p w14:paraId="3488FDF4" w14:textId="6224756B" w:rsidR="00625963" w:rsidRPr="005D1D37" w:rsidRDefault="42626D72" w:rsidP="00384AE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Napovedovanje časovno odvisnega povpraševanja: Določanje komponent časovnih vrst in dekompozicija, Model regresijske premice, Brownova metoda pri konstantnem trendu, Holtova metoda pri dodatnem linearnem trendu, Wintersova metoda pri dodatnem sezonskem trendu.</w:t>
            </w:r>
          </w:p>
          <w:p w14:paraId="5B79AEBD" w14:textId="77777777" w:rsidR="0060607F" w:rsidRPr="005D1D37" w:rsidRDefault="309BEFA9" w:rsidP="00384AE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Upravljanje zalog in stroški (deterministični in stohastični modeli za upravljanje zalog, povezava z napovedovanjem povpraševanja).</w:t>
            </w:r>
          </w:p>
          <w:p w14:paraId="06E82AD3" w14:textId="5D177DAD" w:rsidR="00625963" w:rsidRPr="005D1D37" w:rsidRDefault="42626D72" w:rsidP="00384AEB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lastRenderedPageBreak/>
              <w:t>Optimalno upravljanje zalog pri konstantnem determinističnem povpraševanju: Določitev optimalne naročilne količine, optimalnega časa naročila in optimalnega maksimalnega dovoljenega primanjkljaja (hipno ali postopno polnjenje, primanjkljaj je ali pa ni dovoljen).</w:t>
            </w:r>
          </w:p>
          <w:p w14:paraId="3BBE49CD" w14:textId="46FF5BDC" w:rsidR="00625963" w:rsidRPr="005D1D37" w:rsidRDefault="42626D72" w:rsidP="00384AE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Pregled optimalnih strategij za upravljanje zalog pri stohastičnem povpraševanju</w:t>
            </w:r>
            <w:r w:rsidR="73A901C5"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625112B6" w14:textId="36A7F7A1" w:rsidR="005A11E4" w:rsidRPr="005D1D37" w:rsidRDefault="73A901C5" w:rsidP="00384AE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(Enoperiodični modeli in Newsboy problem,  Stohastični modeli pri zveznem pregledovanju stanja zalog, Stohastični modeli pri periodičnem pregledovanju stanja zalog).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5D1D37" w:rsidRDefault="005A11E4" w:rsidP="00384AE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F4D" w14:textId="39E2E4CC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tabs>
                <w:tab w:val="left" w:pos="103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Fundamentals of probability theory and probability distribution.</w:t>
            </w:r>
          </w:p>
          <w:p w14:paraId="73F2BA4A" w14:textId="49834068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Regression and forecasting in operations research:</w:t>
            </w:r>
          </w:p>
          <w:p w14:paraId="3C39F20D" w14:textId="43919449" w:rsidR="27A82C1F" w:rsidRPr="005D1D37" w:rsidRDefault="27A82C1F" w:rsidP="00384AEB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Introduction to modeling with simple linear regression and regression line, Introduction to modeling with multiple linear regression, Examples from operations research.</w:t>
            </w:r>
          </w:p>
          <w:p w14:paraId="3F24EC37" w14:textId="756F0349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Forecasting time-dependent demand: Determination of time series components and decomposition, Regression line model, Brown's method for constant trend, Holt's method for additional linear trend, Winters' method for additional seasonal trend.</w:t>
            </w:r>
          </w:p>
          <w:p w14:paraId="21A51A54" w14:textId="450EB7F0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Inventory management and costs (deterministic and stochastic models for inventory management, connection with demand forecasting).</w:t>
            </w:r>
          </w:p>
          <w:p w14:paraId="0E1E42DA" w14:textId="128400DC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Optimal inventory management for constant deterministic demand: Determination of optimal order quantity, optimal order time and optimal maximum permissible shortage (instant or gradual replenishment, shortage is or is not allowed).</w:t>
            </w:r>
          </w:p>
          <w:p w14:paraId="2EDF2D3A" w14:textId="6FC0F19E" w:rsidR="27A82C1F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Review of optimal inventory management strategies for stochastic demand.</w:t>
            </w:r>
          </w:p>
          <w:p w14:paraId="68E25B91" w14:textId="3D985B0A" w:rsidR="002238F9" w:rsidRPr="005D1D37" w:rsidRDefault="27A82C1F" w:rsidP="00384AEB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(Single-period models and the Newsboy problem, Stochastic models for continuous inventory control, Stochastic models for periodic inventory control).</w:t>
            </w:r>
          </w:p>
        </w:tc>
      </w:tr>
      <w:tr w:rsidR="005A11E4" w:rsidRPr="005D1D37" w14:paraId="50F6CFCC" w14:textId="77777777" w:rsidTr="005D1D37">
        <w:trPr>
          <w:gridBefore w:val="1"/>
          <w:wBefore w:w="56" w:type="dxa"/>
        </w:trPr>
        <w:tc>
          <w:tcPr>
            <w:tcW w:w="932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5D1D37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77777777" w:rsidR="005A11E4" w:rsidRPr="005D1D37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60607F" w:rsidRPr="004200BD" w14:paraId="4695E570" w14:textId="77777777" w:rsidTr="005D1D37">
        <w:trPr>
          <w:gridBefore w:val="1"/>
          <w:wBefore w:w="56" w:type="dxa"/>
          <w:trHeight w:val="20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44F" w14:textId="23D1262F" w:rsidR="7A26F2BD" w:rsidRPr="004200BD" w:rsidRDefault="7A26F2BD" w:rsidP="3D2D73B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Dragan, D. (2009). </w:t>
            </w:r>
            <w:r w:rsidRPr="004200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Upravljanje logističnih sistemov: visokošolski učbenik</w:t>
            </w: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>. Fakulteta za logistiko.</w:t>
            </w:r>
          </w:p>
          <w:p w14:paraId="06B2569C" w14:textId="72CA4B8C" w:rsidR="00717834" w:rsidRPr="004200BD" w:rsidRDefault="00717834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>Dragan, D. (2009).</w:t>
            </w:r>
            <w:r w:rsidR="00F115B9"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200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Predstavitev optimalnih strategij za upravljanje zalog pri stohastičnem povpraševanju: interno dodatno gradivo za predmet Upravljanje logističnih sistemov</w:t>
            </w:r>
            <w:r w:rsidR="00F115B9"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>(str. 48 f.). Fakulteta za logistiko.</w:t>
            </w:r>
          </w:p>
          <w:p w14:paraId="68235A08" w14:textId="6C7167B1" w:rsidR="00F115B9" w:rsidRPr="004200BD" w:rsidRDefault="2707EE9E" w:rsidP="3D2D73B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Box, G. E. P., Jenkins, G. M., &amp; Reinsel, G. C. (2008). </w:t>
            </w:r>
            <w:r w:rsidRPr="004200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 series analysis: forecasting and control</w:t>
            </w: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 (4th ed.). Wiley</w:t>
            </w:r>
            <w:r w:rsidR="41BBF70B"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 / Sons</w:t>
            </w: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5CF0FC" w14:textId="6B77343A" w:rsidR="00CB3DE3" w:rsidRPr="004200BD" w:rsidRDefault="1BC27CD9" w:rsidP="005D1D3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Dragan, D. (2013). </w:t>
            </w:r>
            <w:r w:rsidRPr="004200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Stohastični procesi v logistiki: visokošolski učbenik</w:t>
            </w:r>
            <w:r w:rsidRPr="004200BD">
              <w:rPr>
                <w:rFonts w:asciiTheme="minorHAnsi" w:hAnsiTheme="minorHAnsi" w:cstheme="minorHAnsi"/>
                <w:sz w:val="20"/>
                <w:szCs w:val="20"/>
              </w:rPr>
              <w:t xml:space="preserve">. Univerza v Mariboru, Fakulteta za logistiko. </w:t>
            </w:r>
            <w:hyperlink r:id="rId7">
              <w:r w:rsidRPr="004200BD">
                <w:rPr>
                  <w:rStyle w:val="Hiperpovezava"/>
                  <w:rFonts w:asciiTheme="minorHAnsi" w:hAnsiTheme="minorHAnsi" w:cstheme="minorHAnsi"/>
                  <w:sz w:val="20"/>
                  <w:szCs w:val="20"/>
                </w:rPr>
                <w:t>https://fl.um.si/knjiznica/digitalna-knjiznica/e-knjige/</w:t>
              </w:r>
            </w:hyperlink>
            <w:r w:rsidR="004200BD">
              <w:rPr>
                <w:rStyle w:val="Hiperpovezava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5D1D37" w14:paraId="17101D27" w14:textId="77777777" w:rsidTr="005D1D37">
        <w:trPr>
          <w:gridBefore w:val="1"/>
          <w:wBefore w:w="56" w:type="dxa"/>
          <w:trHeight w:val="73"/>
        </w:trPr>
        <w:tc>
          <w:tcPr>
            <w:tcW w:w="4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6F68" w14:textId="284E23BA" w:rsidR="3D2D73B8" w:rsidRPr="005D1D37" w:rsidRDefault="3D2D73B8" w:rsidP="3D2D73B8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632AA651" w:rsidR="005A11E4" w:rsidRPr="005D1D37" w:rsidRDefault="6985D2A3" w:rsidP="3D2D73B8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</w:tcBorders>
          </w:tcPr>
          <w:p w14:paraId="21B5386D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5D1D37" w:rsidRDefault="005A11E4" w:rsidP="3D2D73B8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51F3F523" w14:textId="77777777" w:rsidR="005A11E4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0607F" w:rsidRPr="005D1D37" w14:paraId="572FDB32" w14:textId="77777777" w:rsidTr="005D1D37">
        <w:trPr>
          <w:gridBefore w:val="1"/>
          <w:wBefore w:w="56" w:type="dxa"/>
          <w:trHeight w:val="778"/>
        </w:trPr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22B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Cilji predmeta so:</w:t>
            </w:r>
          </w:p>
          <w:p w14:paraId="5648C62C" w14:textId="756CC767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osvojiti in razumeti pojme in znanja s področja  matematičnih modelov in metod v poslovnih logističnih sistemih (PLS),</w:t>
            </w:r>
          </w:p>
          <w:p w14:paraId="40E77BEC" w14:textId="3625DB3E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pravilno identificirati probleme s tega področja in pridobiti znanja za konstrukcijo modelov in uporabo metod v PLS,</w:t>
            </w:r>
          </w:p>
          <w:p w14:paraId="0B89E2D5" w14:textId="2644C423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razumeti mehanizme delovanja metod in modelov PLS, ter jih znati pravilno uporabiti za reševanje problemov,</w:t>
            </w:r>
          </w:p>
          <w:p w14:paraId="43CFAD8A" w14:textId="293F4011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pridobiti znanja pravilne klasifikacije različnih problemov in zmožnosti uporabe pravilnih in ustreznih metod in modelov PLS za dani problem, </w:t>
            </w:r>
          </w:p>
          <w:p w14:paraId="11416EC3" w14:textId="0B14F743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pridobiti razumevanje teoretičnih ozadij, nujno potrebnih za pravilno interpretacijo dobljenih rezultatov metod in modelov PLS in ocenitev njihove kakovosti, </w:t>
            </w:r>
          </w:p>
          <w:p w14:paraId="1642EA56" w14:textId="496A7A4E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pridobiti razumevanje fizikalnih in matematičnih mehanizmov v ozadju obravnavanih problemov in procesov v okviru PLS,</w:t>
            </w:r>
          </w:p>
          <w:p w14:paraId="2024A143" w14:textId="5DA701B5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 naučiti pravilno ovrednotiti ustreznost in kvaliteto uporabljenih metod in modelov PLS, ter znati pravilno uporabiti ustrezne metrike za testiranje njihove veljavnosti, </w:t>
            </w:r>
          </w:p>
          <w:p w14:paraId="384B4DC6" w14:textId="77777777" w:rsidR="0060607F" w:rsidRPr="005D1D37" w:rsidRDefault="0060607F" w:rsidP="0060607F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 naučiti pravilno interpretirati rezultate uporabljenih metod in modelov PLS ter pravilno podati sklepe na njihovi osnovi.   </w:t>
            </w:r>
          </w:p>
          <w:p w14:paraId="3BF374E1" w14:textId="7F8F61C9" w:rsidR="0060607F" w:rsidRPr="005D1D37" w:rsidRDefault="0060607F" w:rsidP="0060607F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A7496A" w14:textId="77777777" w:rsidR="0060607F" w:rsidRPr="005D1D37" w:rsidRDefault="0060607F" w:rsidP="0060607F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5D7AE50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Kompetence, ki jih pridobijo študenti:</w:t>
            </w:r>
          </w:p>
          <w:p w14:paraId="3E46ECFC" w14:textId="14AFDC6C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 xml:space="preserve">osvojijo teoretično znanje na področju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matematičnih modelov in metod v PLS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,</w:t>
            </w:r>
          </w:p>
          <w:p w14:paraId="41FE42AF" w14:textId="7819121C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lastRenderedPageBreak/>
              <w:t xml:space="preserve">poglobljeno razumejo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matematične modele in metode v PLS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,</w:t>
            </w:r>
          </w:p>
          <w:p w14:paraId="525103D2" w14:textId="39BF809F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 xml:space="preserve">spoznajo in razumejo metrike na področju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matematičnih modelov in metod v PLS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,</w:t>
            </w:r>
          </w:p>
          <w:p w14:paraId="090C7DBD" w14:textId="22FD333D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razumejo fizikalne in matematične mehanizme v ozadju matematičnih modelov in metod v PLS</w:t>
            </w: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,</w:t>
            </w:r>
          </w:p>
          <w:p w14:paraId="3F406519" w14:textId="27861875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rešujejo kompleksne probleme v logističnih sistemih s pomočjo 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matematičnih modelov in metod v PLS</w:t>
            </w: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, </w:t>
            </w:r>
          </w:p>
          <w:p w14:paraId="582EF3EA" w14:textId="247334B8" w:rsidR="0060607F" w:rsidRPr="005D1D37" w:rsidRDefault="0060607F" w:rsidP="0060607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razumejo delovanje matematičnih modelov in metod v PLS, koristno tako v okviru tega, kot tudi drugih sorodnih predmetov.</w:t>
            </w:r>
          </w:p>
        </w:tc>
        <w:tc>
          <w:tcPr>
            <w:tcW w:w="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80B9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The aims of this course are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:</w:t>
            </w:r>
          </w:p>
          <w:p w14:paraId="7BCF160A" w14:textId="712A30F1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to acquire and understand concepts and knowledge in the field of mathematical models and methods in business logistics systems (BLS),</w:t>
            </w:r>
          </w:p>
          <w:p w14:paraId="528D7FDB" w14:textId="78B4914A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correctly identify problems in this area and gain knowledge for the construction of models and the use of methods in BLS,</w:t>
            </w:r>
          </w:p>
          <w:p w14:paraId="196EE913" w14:textId="4AD0C8F2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understand the working mechanisms of ​​methods and models in BLS, and be able to use them correctly to solve problems,</w:t>
            </w:r>
          </w:p>
          <w:p w14:paraId="4EF042B0" w14:textId="2BCA1295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to acquire knowledge of the correct classification of various problems and the ability to use the correct and appropriate methods and models of BLS ​​for a given problem,</w:t>
            </w:r>
          </w:p>
          <w:p w14:paraId="723B2A08" w14:textId="077AED8C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to gain an understanding of the theoretical backgrounds necessary for the correct interpretation of the obtained results of methods and models in BLS and assessment of their quality,</w:t>
            </w:r>
          </w:p>
          <w:p w14:paraId="40415956" w14:textId="13911F4A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to gain an understanding of the physical and mathematical mechanisms behind the problems and processes discussed within BLS,</w:t>
            </w:r>
          </w:p>
          <w:p w14:paraId="260CFC21" w14:textId="48A485D3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learn to properly evaluate the adequacy and quality of the conducted methods and models of BLS, and to be able to correctly use the appropriate metrics to test their validity,</w:t>
            </w:r>
          </w:p>
          <w:p w14:paraId="5B314731" w14:textId="518B34E1" w:rsidR="0060607F" w:rsidRPr="005D1D37" w:rsidRDefault="0060607F" w:rsidP="0060607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learn to correctly interpret the results of the used methods and models of BLS ​​and to correctly draw conclusions based on these methods and models.</w:t>
            </w:r>
          </w:p>
          <w:p w14:paraId="0C850E67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</w:p>
          <w:p w14:paraId="67863299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Competences acquired by students:</w:t>
            </w:r>
          </w:p>
          <w:p w14:paraId="225005BB" w14:textId="2639E737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acquire theoretical knowledge in the field of mathematical models and methods in BLS,</w:t>
            </w:r>
          </w:p>
          <w:p w14:paraId="72F88ADB" w14:textId="539D6BAE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lastRenderedPageBreak/>
              <w:t>have an in-depth understanding of mathematical models and methods in BLS,</w:t>
            </w:r>
          </w:p>
          <w:p w14:paraId="43F3EF0A" w14:textId="2BEBBE5D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get to know and understand metrics in the field of mathematical models and methods in BLS,</w:t>
            </w:r>
          </w:p>
          <w:p w14:paraId="557ED8DE" w14:textId="5836891A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understand the physical and mathematical mechanisms behind mathematical models and methods in BLS,</w:t>
            </w:r>
          </w:p>
          <w:p w14:paraId="41DCD409" w14:textId="57192DC1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solve complex problems in logistics systems using mathematical models and methods in BLS,</w:t>
            </w:r>
          </w:p>
          <w:p w14:paraId="41C5AAA2" w14:textId="3A1A76FC" w:rsidR="0060607F" w:rsidRPr="005D1D37" w:rsidRDefault="0060607F" w:rsidP="0060607F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understand the working principles of mathematical models and methods in BLS, useful both within this and other related subjects.</w:t>
            </w:r>
          </w:p>
        </w:tc>
      </w:tr>
      <w:tr w:rsidR="0060607F" w:rsidRPr="005D1D37" w14:paraId="2732D8B1" w14:textId="77777777" w:rsidTr="005D1D37">
        <w:trPr>
          <w:gridBefore w:val="1"/>
          <w:wBefore w:w="56" w:type="dxa"/>
          <w:trHeight w:val="117"/>
        </w:trPr>
        <w:tc>
          <w:tcPr>
            <w:tcW w:w="45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225" w:type="dxa"/>
            <w:gridSpan w:val="2"/>
          </w:tcPr>
          <w:p w14:paraId="4D4A9CC8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60607F" w:rsidRPr="005D1D37" w14:paraId="355E000C" w14:textId="77777777" w:rsidTr="005D1D37">
        <w:trPr>
          <w:gridBefore w:val="1"/>
          <w:wBefore w:w="56" w:type="dxa"/>
          <w:trHeight w:val="410"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B9C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Znanje in razumevanje:</w:t>
            </w:r>
          </w:p>
          <w:p w14:paraId="5642CE60" w14:textId="77777777" w:rsidR="0060607F" w:rsidRPr="005D1D37" w:rsidRDefault="0060607F" w:rsidP="0060607F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Študent/študentka bo ob zaključku predmeta zmožen: </w:t>
            </w:r>
          </w:p>
          <w:p w14:paraId="3E61DDF0" w14:textId="79FA1AAC" w:rsidR="0060607F" w:rsidRPr="00384AEB" w:rsidRDefault="0060607F" w:rsidP="0060607F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obvladati raziskovalne metode, postopke in procese na področju metod in modelov PLS,</w:t>
            </w:r>
          </w:p>
          <w:p w14:paraId="4B8C06EB" w14:textId="4DD043F1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samostojno znanstveno raziskovati na področju  metod in modelov PLS</w:t>
            </w:r>
            <w:r w:rsidR="002238F9"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(tematika raziskovalne naloge se lahko glede na specifične zahteve razlikuje, v osnovi pa je predstavljen problem napovedovanja povpraševanja)</w:t>
            </w: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4C21AD40" w14:textId="5253B96D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uporabljati kvantitativne metode in modele PLS, </w:t>
            </w:r>
          </w:p>
          <w:p w14:paraId="7E57D851" w14:textId="00F30E39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poglobljeno analizirati probleme in uporabljati pri tem sistemsko razmišljanje na tem področju,</w:t>
            </w:r>
          </w:p>
          <w:p w14:paraId="0B128C59" w14:textId="5A6AC3C2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reševati probleme v poslovnih logističnih okoljih,</w:t>
            </w:r>
          </w:p>
          <w:p w14:paraId="265C1976" w14:textId="1013395C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pridobiti splošna in specifična znanja na področju metod in modelov PLS,</w:t>
            </w:r>
          </w:p>
          <w:p w14:paraId="1DE7CCA1" w14:textId="77777777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integrirati različne koncepte kvantitativnih metod in modelov PLS, ki vodijo k inovativnim rešitvam obravnavanih problemov,</w:t>
            </w:r>
          </w:p>
          <w:p w14:paraId="44949474" w14:textId="425F874C" w:rsidR="0060607F" w:rsidRPr="005D1D37" w:rsidRDefault="0060607F" w:rsidP="0060607F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kritično analizirati kompleksna znanja, koncepte, pristope in strategije k uporabi metod in načrtovanju modelov,</w:t>
            </w:r>
          </w:p>
          <w:p w14:paraId="13100AD9" w14:textId="77777777" w:rsidR="0060607F" w:rsidRPr="005D1D37" w:rsidRDefault="0060607F" w:rsidP="0060607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sintetizirati informacije s področja metod in modelov PLS, ter prepoznati vrednosti znanja ali procesov z vidika predmeta in prakse.</w:t>
            </w:r>
          </w:p>
          <w:p w14:paraId="697CDF1A" w14:textId="225399DC" w:rsidR="0060607F" w:rsidRDefault="0060607F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C42450A" w14:textId="155F92B6" w:rsidR="005D1D37" w:rsidRDefault="005D1D37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E8C102F" w14:textId="2E559A2A" w:rsidR="005D1D37" w:rsidRDefault="005D1D37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0814DA" w14:textId="0EB3866D" w:rsidR="005D1D37" w:rsidRDefault="005D1D37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38C47D" w14:textId="77777777" w:rsidR="00384AEB" w:rsidRPr="005D1D37" w:rsidRDefault="00384AEB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DEA773" w14:textId="3F286922" w:rsidR="0060607F" w:rsidRPr="005D1D37" w:rsidRDefault="0060607F" w:rsidP="0060607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>Študijski rezultati se bodo preverjali (in merili) na različne načine, kot je to definirano v deležih (v %) pri načinih ocenjevanja.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28E" w14:textId="77777777" w:rsidR="0060607F" w:rsidRPr="005D1D37" w:rsidRDefault="0060607F" w:rsidP="0060607F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Knowledge and understanding:</w:t>
            </w:r>
          </w:p>
          <w:p w14:paraId="1023D8B3" w14:textId="77777777" w:rsidR="00384AEB" w:rsidRDefault="0060607F" w:rsidP="00384AEB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The student will be able to:</w:t>
            </w:r>
          </w:p>
          <w:p w14:paraId="697A949A" w14:textId="77777777" w:rsidR="00384AEB" w:rsidRDefault="0060607F" w:rsidP="00384AE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384AEB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 xml:space="preserve">master research methods, procedures, and processes in the field of methods and models of BLS, </w:t>
            </w:r>
          </w:p>
          <w:p w14:paraId="2818F9A2" w14:textId="1EA3D873" w:rsidR="0060607F" w:rsidRPr="00384AEB" w:rsidRDefault="0060607F" w:rsidP="00384AE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384AEB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able for independent scientific research work in the field of methods and models of BLS</w:t>
            </w:r>
            <w:r w:rsidR="002238F9" w:rsidRPr="00384AEB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 xml:space="preserve"> (The topic of the research project may vary depending on specific requirements, but it primarily focuses on the problem of demand forecasting),</w:t>
            </w:r>
          </w:p>
          <w:p w14:paraId="612D8CB3" w14:textId="13CED161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understand the use of methods and models of BLS with the ability of in-depth problem analysis and systems thinking in this area,</w:t>
            </w:r>
          </w:p>
          <w:p w14:paraId="2B7B887E" w14:textId="00131736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able to cooperate creatively in solving problems in business logistics environments,</w:t>
            </w:r>
          </w:p>
          <w:p w14:paraId="3D301EF8" w14:textId="12EF2E5F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acquire general and specific knowledge in the field of methods and models of BLS,</w:t>
            </w:r>
          </w:p>
          <w:p w14:paraId="7A20D7B9" w14:textId="3F794282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develop the ability to integrate various concepts in the field of methods and models of BLS, which lead to innovative solutions to the problems addressed,</w:t>
            </w:r>
          </w:p>
          <w:p w14:paraId="5900C6EC" w14:textId="687174CB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develop the ability to critically analyze complex knowledge, concepts, approaches, and strategies related to methods and models of BLS,</w:t>
            </w:r>
          </w:p>
          <w:p w14:paraId="09A16679" w14:textId="77777777" w:rsidR="0060607F" w:rsidRPr="005D1D37" w:rsidRDefault="0060607F" w:rsidP="0060607F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able to synthesize information in the field of methods and models of BLS innovatively and recognize the value of knowledge or processes from the subject and practice perspective.</w:t>
            </w:r>
          </w:p>
          <w:p w14:paraId="3027F2C2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" w:eastAsia="sl-SI"/>
              </w:rPr>
            </w:pPr>
          </w:p>
          <w:p w14:paraId="06D50644" w14:textId="0C561938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Study results will be checked (and measured) in different ways, as defined in shares (in%) in assessment methods. </w:t>
            </w:r>
          </w:p>
        </w:tc>
      </w:tr>
      <w:tr w:rsidR="0060607F" w:rsidRPr="005D1D37" w14:paraId="28C61BBA" w14:textId="77777777" w:rsidTr="005D1D37">
        <w:trPr>
          <w:gridBefore w:val="1"/>
          <w:wBefore w:w="56" w:type="dxa"/>
        </w:trPr>
        <w:tc>
          <w:tcPr>
            <w:tcW w:w="45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225" w:type="dxa"/>
            <w:gridSpan w:val="2"/>
          </w:tcPr>
          <w:p w14:paraId="47B947C4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60607F" w:rsidRPr="005D1D37" w14:paraId="4C66F302" w14:textId="77777777" w:rsidTr="005D1D37">
        <w:trPr>
          <w:gridBefore w:val="1"/>
          <w:wBefore w:w="56" w:type="dxa"/>
          <w:trHeight w:val="1163"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D27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 xml:space="preserve">Predmet vključuje različne metode poučevanja in učenja, kot so: predavanja v klasični obliki, predavanja preko video predstavitev, filmov in webinarjev, predstavitve študentov in samostojni študij študentov. </w:t>
            </w:r>
          </w:p>
          <w:p w14:paraId="66FE3160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91268" w14:textId="54D6AE6D" w:rsidR="0060607F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</w:t>
            </w:r>
            <w:r w:rsidRPr="005D1D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predavanja se lahko izvajajo na videokonferenčni način ali s pomočjo posebej v ta namen didaktično pripravljenih e-gradiv v virtualnem elektronskem učnem okolju).</w:t>
            </w:r>
          </w:p>
          <w:p w14:paraId="4AEE5C38" w14:textId="77777777" w:rsidR="00384AEB" w:rsidRPr="005D1D37" w:rsidRDefault="00384AEB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39AFB" w14:textId="0DBA43E1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A9A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subject includes various teaching and learning methods, such as: lectures in classical form, lectures via video presentations, films and webinars, student presentations and independent student studies.</w:t>
            </w:r>
          </w:p>
          <w:p w14:paraId="4971879D" w14:textId="3A468562" w:rsidR="0060607F" w:rsidRPr="005D1D37" w:rsidRDefault="0060607F" w:rsidP="0060607F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6C662F" w14:textId="77777777" w:rsidR="0060607F" w:rsidRPr="005D1D37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Lectures: Students understand the theoretical frameworks of the course. Part of the lecture course is in a classroom while the rest is in the form of e-</w:t>
            </w: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learning (e-lectures may be given via video-conferencing or with the help of specially designed e-material in a virtual electronic learning environment). </w:t>
            </w:r>
          </w:p>
          <w:p w14:paraId="0DC1B6D0" w14:textId="3554BB44" w:rsidR="0060607F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EA10143" w14:textId="77777777" w:rsidR="00384AEB" w:rsidRPr="005D1D37" w:rsidRDefault="00384AEB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6E78F08" w14:textId="51BA2DD9" w:rsidR="0060607F" w:rsidRPr="00384AEB" w:rsidRDefault="0060607F" w:rsidP="006060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1D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Tutorials: Students enhance their theoretical knowledge and are able to apply it. Part of the seminar is in a classroom while the rest is in the form of e-learning (e-Tutorials: may be given via video-conferencing or with the help of specially designed e-material in a virtual electronic learning environment). </w:t>
            </w:r>
          </w:p>
        </w:tc>
      </w:tr>
      <w:tr w:rsidR="0060607F" w:rsidRPr="005D1D37" w14:paraId="0566443A" w14:textId="77777777" w:rsidTr="005D1D37">
        <w:trPr>
          <w:gridBefore w:val="1"/>
          <w:wBefore w:w="56" w:type="dxa"/>
        </w:trPr>
        <w:tc>
          <w:tcPr>
            <w:tcW w:w="38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E00FC0A" w14:textId="77777777" w:rsidR="005D1D37" w:rsidRDefault="005D1D37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40AD102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BBC9" w14:textId="77777777" w:rsidR="005D1D37" w:rsidRDefault="005D1D37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4214AFA2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3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BF0150D" w14:textId="77777777" w:rsidR="005D1D37" w:rsidRDefault="005D1D37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26D1DBF5" w:rsidR="0060607F" w:rsidRPr="005D1D37" w:rsidRDefault="0060607F" w:rsidP="006060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384AEB" w:rsidRPr="00384AEB" w14:paraId="52B92BAD" w14:textId="77777777" w:rsidTr="00384AEB">
        <w:trPr>
          <w:gridBefore w:val="1"/>
          <w:wBefore w:w="56" w:type="dxa"/>
          <w:trHeight w:val="671"/>
        </w:trPr>
        <w:tc>
          <w:tcPr>
            <w:tcW w:w="3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77B" w14:textId="45882BC0" w:rsidR="0060607F" w:rsidRPr="00384AEB" w:rsidRDefault="3BF15663" w:rsidP="30CCE39D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Računski izpit</w:t>
            </w:r>
            <w:r w:rsidR="00384AEB"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50BD54F" w14:textId="14034569" w:rsidR="0060607F" w:rsidRPr="00384AEB" w:rsidRDefault="3BF15663" w:rsidP="30CCE39D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Teoretični izpit</w:t>
            </w:r>
            <w:r w:rsidR="00384AEB"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3D37E4C" w14:textId="5C8A8CC2" w:rsidR="0060607F" w:rsidRPr="00384AEB" w:rsidRDefault="3BF15663" w:rsidP="00FA5FC6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Raziskovalna naloga</w:t>
            </w:r>
            <w:r w:rsidR="00384AEB" w:rsidRPr="00384A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AC3" w14:textId="77777777" w:rsidR="0060607F" w:rsidRPr="00384AEB" w:rsidRDefault="3A62211B" w:rsidP="30CCE39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  <w:p w14:paraId="493E210B" w14:textId="77777777" w:rsidR="0060607F" w:rsidRPr="00384AEB" w:rsidRDefault="3A62211B" w:rsidP="30CCE39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  <w:p w14:paraId="6252E3BC" w14:textId="1F00319B" w:rsidR="0060607F" w:rsidRPr="00384AEB" w:rsidRDefault="3A62211B" w:rsidP="30CCE3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highlight w:val="yellow"/>
                <w:lang w:eastAsia="sl-SI"/>
              </w:rPr>
            </w:pPr>
            <w:r w:rsidRPr="00384A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3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6AB" w14:textId="4A46D07C" w:rsidR="0060607F" w:rsidRPr="00384AEB" w:rsidRDefault="00FA5FC6" w:rsidP="30CCE39D">
            <w:pPr>
              <w:numPr>
                <w:ilvl w:val="0"/>
                <w:numId w:val="36"/>
              </w:numPr>
              <w:tabs>
                <w:tab w:val="clear" w:pos="36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7659656E"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alculation exam</w:t>
            </w:r>
            <w:r w:rsidR="00384AEB"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4A25C05" w14:textId="19B8EF01" w:rsidR="0060607F" w:rsidRPr="00384AEB" w:rsidRDefault="7659656E" w:rsidP="30CCE39D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Theoretical exam</w:t>
            </w:r>
            <w:r w:rsidR="00384AEB"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F78515" w14:textId="66B5B78D" w:rsidR="0060607F" w:rsidRPr="00384AEB" w:rsidRDefault="7659656E" w:rsidP="30CCE39D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Research paper</w:t>
            </w:r>
            <w:r w:rsidR="00384AEB" w:rsidRPr="00384A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14:paraId="6BA01108" w14:textId="77777777" w:rsidR="00271751" w:rsidRPr="005D1D37" w:rsidRDefault="00271751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5D1D37" w14:paraId="0D823691" w14:textId="77777777" w:rsidTr="00384AEB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40A47F28" w:rsidR="00384AEB" w:rsidRPr="005D1D37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D1D3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Reference nosilca / Course coordinator's references:</w:t>
            </w:r>
          </w:p>
        </w:tc>
      </w:tr>
      <w:tr w:rsidR="00384AEB" w:rsidRPr="00384AEB" w14:paraId="6416BED8" w14:textId="77777777" w:rsidTr="00384AEB">
        <w:trPr>
          <w:trHeight w:val="3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6" w:type="dxa"/>
              <w:right w:w="56" w:type="dxa"/>
            </w:tcMar>
          </w:tcPr>
          <w:p w14:paraId="508A2A73" w14:textId="63C04B51" w:rsidR="3054FC45" w:rsidRPr="00384AEB" w:rsidRDefault="134EB0F5" w:rsidP="00384AEB">
            <w:pPr>
              <w:pStyle w:val="Pripomba"/>
              <w:numPr>
                <w:ilvl w:val="0"/>
                <w:numId w:val="7"/>
              </w:numPr>
              <w:spacing w:after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384AEB">
              <w:rPr>
                <w:rFonts w:cstheme="minorHAnsi"/>
                <w:b w:val="0"/>
                <w:sz w:val="20"/>
                <w:szCs w:val="20"/>
                <w:lang w:val="en-US"/>
              </w:rPr>
              <w:t>MARCEN, Benjamin, VUKMAN, Joso. On certain functional equation related to derivations. Open Mathematics. Jan. 2024, vol. 22, issue 1, str. 1-23, ilustr. ISSN 2391-5455.</w:t>
            </w:r>
          </w:p>
          <w:p w14:paraId="4554592D" w14:textId="77777777" w:rsidR="00384AEB" w:rsidRPr="00384AEB" w:rsidRDefault="134EB0F5" w:rsidP="00384AEB">
            <w:pPr>
              <w:pStyle w:val="Pripomba"/>
              <w:numPr>
                <w:ilvl w:val="0"/>
                <w:numId w:val="7"/>
              </w:numPr>
              <w:spacing w:after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384AEB">
              <w:rPr>
                <w:rFonts w:cstheme="minorHAnsi"/>
                <w:b w:val="0"/>
                <w:sz w:val="20"/>
                <w:szCs w:val="20"/>
                <w:lang w:val="en-US"/>
              </w:rPr>
              <w:t xml:space="preserve">FOŠNER, Maja, MARCEN, Benjamin. A new equation related to two-sided centralizers in prime rings. Aequationes mathematicae. 2022, [13] str. ISSN 1420-8903.  </w:t>
            </w:r>
          </w:p>
          <w:p w14:paraId="55A0FAF4" w14:textId="77777777" w:rsidR="00384AEB" w:rsidRPr="00384AEB" w:rsidRDefault="134EB0F5" w:rsidP="00384AEB">
            <w:pPr>
              <w:pStyle w:val="Pripomba"/>
              <w:numPr>
                <w:ilvl w:val="0"/>
                <w:numId w:val="7"/>
              </w:numPr>
              <w:spacing w:after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384AEB">
              <w:rPr>
                <w:rFonts w:cstheme="minorHAnsi"/>
                <w:b w:val="0"/>
                <w:sz w:val="20"/>
                <w:szCs w:val="20"/>
                <w:lang w:val="en-US"/>
              </w:rPr>
              <w:t>FOŠNER, Maja, MARCEN, Benjamin, VUKMAN, Joso. On functional equation characterizing derivations. Communications in algebra. Sep. 2022, vol. 50, iss. 11, str. 1-11. ISSN 0092-7872.</w:t>
            </w:r>
          </w:p>
          <w:p w14:paraId="5FA86C2C" w14:textId="77777777" w:rsidR="00384AEB" w:rsidRPr="00384AEB" w:rsidRDefault="134EB0F5" w:rsidP="00384AEB">
            <w:pPr>
              <w:pStyle w:val="Pripomba"/>
              <w:numPr>
                <w:ilvl w:val="0"/>
                <w:numId w:val="7"/>
              </w:numPr>
              <w:spacing w:after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384AEB">
              <w:rPr>
                <w:rFonts w:cstheme="minorHAnsi"/>
                <w:b w:val="0"/>
                <w:sz w:val="20"/>
                <w:szCs w:val="20"/>
                <w:lang w:val="en-US"/>
              </w:rPr>
              <w:t>FOŠNER, Maja, MARCEN, Benjamin, VUKMAN, Joso. On certain functional equation in prime rings. Open Mathematics. 2022, vol. 20, iss. 1, str. 140-152. ISSN 2391-5455.</w:t>
            </w:r>
          </w:p>
          <w:p w14:paraId="28AA2CC0" w14:textId="3B0C3DB7" w:rsidR="3054FC45" w:rsidRPr="00384AEB" w:rsidRDefault="134EB0F5" w:rsidP="00384AEB">
            <w:pPr>
              <w:pStyle w:val="Pripomba"/>
              <w:numPr>
                <w:ilvl w:val="0"/>
                <w:numId w:val="7"/>
              </w:numPr>
              <w:spacing w:after="0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384AEB">
              <w:rPr>
                <w:rFonts w:cstheme="minorHAnsi"/>
                <w:b w:val="0"/>
                <w:sz w:val="20"/>
                <w:szCs w:val="20"/>
                <w:lang w:val="en-US"/>
              </w:rPr>
              <w:t>FOŠNER, Maja, MARCEN, Benjamin, VUKMAN, Joso. On a functional equation characterizing two-sided centralizers in prime rings. Periodica mathematica Hungarica. 2022, [14] str. ISSN 1588-2829.</w:t>
            </w:r>
          </w:p>
        </w:tc>
      </w:tr>
    </w:tbl>
    <w:p w14:paraId="76BC399A" w14:textId="62AAEAD9" w:rsidR="5D654590" w:rsidRPr="005D1D37" w:rsidRDefault="5D654590" w:rsidP="3054FC45">
      <w:pPr>
        <w:pStyle w:val="Pripomba"/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5D654590" w:rsidRPr="005D1D37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EFE" w14:textId="77777777" w:rsidR="000E0584" w:rsidRDefault="000E0584" w:rsidP="00703ADE">
      <w:pPr>
        <w:spacing w:after="0"/>
      </w:pPr>
      <w:r>
        <w:separator/>
      </w:r>
    </w:p>
  </w:endnote>
  <w:endnote w:type="continuationSeparator" w:id="0">
    <w:p w14:paraId="03001214" w14:textId="77777777" w:rsidR="000E0584" w:rsidRDefault="000E058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717743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C7D0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C7D0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1E07" w14:textId="77777777" w:rsidR="000E0584" w:rsidRDefault="000E0584" w:rsidP="00703ADE">
      <w:pPr>
        <w:spacing w:after="0"/>
      </w:pPr>
      <w:r>
        <w:separator/>
      </w:r>
    </w:p>
  </w:footnote>
  <w:footnote w:type="continuationSeparator" w:id="0">
    <w:p w14:paraId="53B239C8" w14:textId="77777777" w:rsidR="000E0584" w:rsidRDefault="000E058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18F0"/>
    <w:multiLevelType w:val="hybridMultilevel"/>
    <w:tmpl w:val="7A44162C"/>
    <w:lvl w:ilvl="0" w:tplc="09C62C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D084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2046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257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E807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381A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2443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02C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7EBE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630C"/>
    <w:multiLevelType w:val="hybridMultilevel"/>
    <w:tmpl w:val="B7409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60CCB"/>
    <w:multiLevelType w:val="hybridMultilevel"/>
    <w:tmpl w:val="CC5C5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A70481"/>
    <w:multiLevelType w:val="hybridMultilevel"/>
    <w:tmpl w:val="93E2BF6C"/>
    <w:lvl w:ilvl="0" w:tplc="3320AA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2233C"/>
    <w:multiLevelType w:val="hybridMultilevel"/>
    <w:tmpl w:val="F7841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58A4D"/>
    <w:multiLevelType w:val="hybridMultilevel"/>
    <w:tmpl w:val="CDA4A936"/>
    <w:lvl w:ilvl="0" w:tplc="F9D2A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E4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2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04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27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85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9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A3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A654FD"/>
    <w:multiLevelType w:val="hybridMultilevel"/>
    <w:tmpl w:val="48A65E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593CC9"/>
    <w:multiLevelType w:val="hybridMultilevel"/>
    <w:tmpl w:val="4E3227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623F"/>
    <w:multiLevelType w:val="hybridMultilevel"/>
    <w:tmpl w:val="C8EEFD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33828"/>
    <w:multiLevelType w:val="hybridMultilevel"/>
    <w:tmpl w:val="1F14949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14AD8"/>
    <w:multiLevelType w:val="hybridMultilevel"/>
    <w:tmpl w:val="185E3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186F19"/>
    <w:multiLevelType w:val="hybridMultilevel"/>
    <w:tmpl w:val="D83AA3C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372E2"/>
    <w:multiLevelType w:val="hybridMultilevel"/>
    <w:tmpl w:val="CD1C2066"/>
    <w:lvl w:ilvl="0" w:tplc="726025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5ACD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5A50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2A6C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B4D0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C0CA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F827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8418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A94CE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60A38"/>
    <w:multiLevelType w:val="hybridMultilevel"/>
    <w:tmpl w:val="3398A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E6B8B"/>
    <w:multiLevelType w:val="hybridMultilevel"/>
    <w:tmpl w:val="E764682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66678"/>
    <w:multiLevelType w:val="hybridMultilevel"/>
    <w:tmpl w:val="B7A00A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50E99"/>
    <w:multiLevelType w:val="hybridMultilevel"/>
    <w:tmpl w:val="21C4D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5B48D6"/>
    <w:multiLevelType w:val="hybridMultilevel"/>
    <w:tmpl w:val="0B143CB2"/>
    <w:lvl w:ilvl="0" w:tplc="FE5C9E9C">
      <w:start w:val="1"/>
      <w:numFmt w:val="decimal"/>
      <w:lvlText w:val="%1."/>
      <w:lvlJc w:val="left"/>
      <w:pPr>
        <w:ind w:left="360" w:hanging="360"/>
      </w:pPr>
    </w:lvl>
    <w:lvl w:ilvl="1" w:tplc="4CD2AD2E">
      <w:start w:val="1"/>
      <w:numFmt w:val="lowerLetter"/>
      <w:lvlText w:val="%2."/>
      <w:lvlJc w:val="left"/>
      <w:pPr>
        <w:ind w:left="1080" w:hanging="360"/>
      </w:pPr>
    </w:lvl>
    <w:lvl w:ilvl="2" w:tplc="5ACCD70E">
      <w:start w:val="1"/>
      <w:numFmt w:val="lowerRoman"/>
      <w:lvlText w:val="%3."/>
      <w:lvlJc w:val="right"/>
      <w:pPr>
        <w:ind w:left="1800" w:hanging="180"/>
      </w:pPr>
    </w:lvl>
    <w:lvl w:ilvl="3" w:tplc="ECE6F532">
      <w:start w:val="1"/>
      <w:numFmt w:val="decimal"/>
      <w:lvlText w:val="%4."/>
      <w:lvlJc w:val="left"/>
      <w:pPr>
        <w:ind w:left="2520" w:hanging="360"/>
      </w:pPr>
    </w:lvl>
    <w:lvl w:ilvl="4" w:tplc="42EA8804">
      <w:start w:val="1"/>
      <w:numFmt w:val="lowerLetter"/>
      <w:lvlText w:val="%5."/>
      <w:lvlJc w:val="left"/>
      <w:pPr>
        <w:ind w:left="3240" w:hanging="360"/>
      </w:pPr>
    </w:lvl>
    <w:lvl w:ilvl="5" w:tplc="8408BD96">
      <w:start w:val="1"/>
      <w:numFmt w:val="lowerRoman"/>
      <w:lvlText w:val="%6."/>
      <w:lvlJc w:val="right"/>
      <w:pPr>
        <w:ind w:left="3960" w:hanging="180"/>
      </w:pPr>
    </w:lvl>
    <w:lvl w:ilvl="6" w:tplc="96BE655E">
      <w:start w:val="1"/>
      <w:numFmt w:val="decimal"/>
      <w:lvlText w:val="%7."/>
      <w:lvlJc w:val="left"/>
      <w:pPr>
        <w:ind w:left="4680" w:hanging="360"/>
      </w:pPr>
    </w:lvl>
    <w:lvl w:ilvl="7" w:tplc="3F04E7B8">
      <w:start w:val="1"/>
      <w:numFmt w:val="lowerLetter"/>
      <w:lvlText w:val="%8."/>
      <w:lvlJc w:val="left"/>
      <w:pPr>
        <w:ind w:left="5400" w:hanging="360"/>
      </w:pPr>
    </w:lvl>
    <w:lvl w:ilvl="8" w:tplc="2FB49D10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D5378"/>
    <w:multiLevelType w:val="hybridMultilevel"/>
    <w:tmpl w:val="C658D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E0BA2A"/>
    <w:multiLevelType w:val="hybridMultilevel"/>
    <w:tmpl w:val="EB9432AC"/>
    <w:lvl w:ilvl="0" w:tplc="591047DC">
      <w:start w:val="1"/>
      <w:numFmt w:val="decimal"/>
      <w:lvlText w:val="%1."/>
      <w:lvlJc w:val="left"/>
      <w:pPr>
        <w:ind w:left="720" w:hanging="360"/>
      </w:pPr>
    </w:lvl>
    <w:lvl w:ilvl="1" w:tplc="1F7AD634">
      <w:start w:val="1"/>
      <w:numFmt w:val="lowerLetter"/>
      <w:lvlText w:val="%2."/>
      <w:lvlJc w:val="left"/>
      <w:pPr>
        <w:ind w:left="1440" w:hanging="360"/>
      </w:pPr>
    </w:lvl>
    <w:lvl w:ilvl="2" w:tplc="0F4402D0">
      <w:start w:val="1"/>
      <w:numFmt w:val="lowerRoman"/>
      <w:lvlText w:val="%3."/>
      <w:lvlJc w:val="right"/>
      <w:pPr>
        <w:ind w:left="2160" w:hanging="180"/>
      </w:pPr>
    </w:lvl>
    <w:lvl w:ilvl="3" w:tplc="227AE88A">
      <w:start w:val="1"/>
      <w:numFmt w:val="decimal"/>
      <w:lvlText w:val="%4."/>
      <w:lvlJc w:val="left"/>
      <w:pPr>
        <w:ind w:left="2880" w:hanging="360"/>
      </w:pPr>
    </w:lvl>
    <w:lvl w:ilvl="4" w:tplc="9086E19C">
      <w:start w:val="1"/>
      <w:numFmt w:val="lowerLetter"/>
      <w:lvlText w:val="%5."/>
      <w:lvlJc w:val="left"/>
      <w:pPr>
        <w:ind w:left="3600" w:hanging="360"/>
      </w:pPr>
    </w:lvl>
    <w:lvl w:ilvl="5" w:tplc="CEEA8DD0">
      <w:start w:val="1"/>
      <w:numFmt w:val="lowerRoman"/>
      <w:lvlText w:val="%6."/>
      <w:lvlJc w:val="right"/>
      <w:pPr>
        <w:ind w:left="4320" w:hanging="180"/>
      </w:pPr>
    </w:lvl>
    <w:lvl w:ilvl="6" w:tplc="EC5AE6FC">
      <w:start w:val="1"/>
      <w:numFmt w:val="decimal"/>
      <w:lvlText w:val="%7."/>
      <w:lvlJc w:val="left"/>
      <w:pPr>
        <w:ind w:left="5040" w:hanging="360"/>
      </w:pPr>
    </w:lvl>
    <w:lvl w:ilvl="7" w:tplc="FCCCA224">
      <w:start w:val="1"/>
      <w:numFmt w:val="lowerLetter"/>
      <w:lvlText w:val="%8."/>
      <w:lvlJc w:val="left"/>
      <w:pPr>
        <w:ind w:left="5760" w:hanging="360"/>
      </w:pPr>
    </w:lvl>
    <w:lvl w:ilvl="8" w:tplc="B35679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84647"/>
    <w:multiLevelType w:val="hybridMultilevel"/>
    <w:tmpl w:val="AE70AD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21289"/>
    <w:multiLevelType w:val="hybridMultilevel"/>
    <w:tmpl w:val="BCC8C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AD2DDB"/>
    <w:multiLevelType w:val="hybridMultilevel"/>
    <w:tmpl w:val="AF1405FA"/>
    <w:lvl w:ilvl="0" w:tplc="C7B63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BA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C1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ED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A8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6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3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A8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1249F"/>
    <w:multiLevelType w:val="hybridMultilevel"/>
    <w:tmpl w:val="1BC6DE68"/>
    <w:lvl w:ilvl="0" w:tplc="F2FAE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D6FB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B043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4655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A4A5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C693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A00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4C9C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C480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32"/>
  </w:num>
  <w:num w:numId="4">
    <w:abstractNumId w:val="10"/>
  </w:num>
  <w:num w:numId="5">
    <w:abstractNumId w:val="38"/>
  </w:num>
  <w:num w:numId="6">
    <w:abstractNumId w:val="37"/>
  </w:num>
  <w:num w:numId="7">
    <w:abstractNumId w:val="30"/>
  </w:num>
  <w:num w:numId="8">
    <w:abstractNumId w:val="39"/>
  </w:num>
  <w:num w:numId="9">
    <w:abstractNumId w:val="7"/>
  </w:num>
  <w:num w:numId="10">
    <w:abstractNumId w:val="25"/>
  </w:num>
  <w:num w:numId="11">
    <w:abstractNumId w:val="19"/>
  </w:num>
  <w:num w:numId="12">
    <w:abstractNumId w:val="23"/>
  </w:num>
  <w:num w:numId="13">
    <w:abstractNumId w:val="11"/>
  </w:num>
  <w:num w:numId="14">
    <w:abstractNumId w:val="13"/>
  </w:num>
  <w:num w:numId="15">
    <w:abstractNumId w:val="12"/>
  </w:num>
  <w:num w:numId="16">
    <w:abstractNumId w:val="3"/>
  </w:num>
  <w:num w:numId="17">
    <w:abstractNumId w:val="34"/>
  </w:num>
  <w:num w:numId="18">
    <w:abstractNumId w:val="8"/>
  </w:num>
  <w:num w:numId="19">
    <w:abstractNumId w:val="6"/>
  </w:num>
  <w:num w:numId="20">
    <w:abstractNumId w:val="35"/>
  </w:num>
  <w:num w:numId="21">
    <w:abstractNumId w:val="9"/>
  </w:num>
  <w:num w:numId="22">
    <w:abstractNumId w:val="27"/>
  </w:num>
  <w:num w:numId="23">
    <w:abstractNumId w:val="4"/>
  </w:num>
  <w:num w:numId="24">
    <w:abstractNumId w:val="24"/>
  </w:num>
  <w:num w:numId="25">
    <w:abstractNumId w:val="36"/>
  </w:num>
  <w:num w:numId="26">
    <w:abstractNumId w:val="2"/>
  </w:num>
  <w:num w:numId="27">
    <w:abstractNumId w:val="17"/>
  </w:num>
  <w:num w:numId="28">
    <w:abstractNumId w:val="14"/>
  </w:num>
  <w:num w:numId="29">
    <w:abstractNumId w:val="1"/>
  </w:num>
  <w:num w:numId="30">
    <w:abstractNumId w:val="29"/>
  </w:num>
  <w:num w:numId="31">
    <w:abstractNumId w:val="31"/>
  </w:num>
  <w:num w:numId="32">
    <w:abstractNumId w:val="28"/>
  </w:num>
  <w:num w:numId="33">
    <w:abstractNumId w:val="5"/>
  </w:num>
  <w:num w:numId="34">
    <w:abstractNumId w:val="33"/>
  </w:num>
  <w:num w:numId="35">
    <w:abstractNumId w:val="16"/>
  </w:num>
  <w:num w:numId="36">
    <w:abstractNumId w:val="15"/>
  </w:num>
  <w:num w:numId="37">
    <w:abstractNumId w:val="20"/>
  </w:num>
  <w:num w:numId="38">
    <w:abstractNumId w:val="18"/>
  </w:num>
  <w:num w:numId="39">
    <w:abstractNumId w:val="2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TUyM7U0NzWzNDJU0lEKTi0uzszPAykwqQUAzNhLxCwAAAA="/>
  </w:docVars>
  <w:rsids>
    <w:rsidRoot w:val="00703ADE"/>
    <w:rsid w:val="00046B40"/>
    <w:rsid w:val="00052CEA"/>
    <w:rsid w:val="00053C25"/>
    <w:rsid w:val="000625CC"/>
    <w:rsid w:val="00067866"/>
    <w:rsid w:val="000761B7"/>
    <w:rsid w:val="0009073D"/>
    <w:rsid w:val="0009636B"/>
    <w:rsid w:val="000A1541"/>
    <w:rsid w:val="000A19DD"/>
    <w:rsid w:val="000A269D"/>
    <w:rsid w:val="000B0A40"/>
    <w:rsid w:val="000B587A"/>
    <w:rsid w:val="000B67E3"/>
    <w:rsid w:val="000B6A23"/>
    <w:rsid w:val="000CFF57"/>
    <w:rsid w:val="000D436A"/>
    <w:rsid w:val="000E0584"/>
    <w:rsid w:val="000E7D4E"/>
    <w:rsid w:val="000F1B74"/>
    <w:rsid w:val="000F40D2"/>
    <w:rsid w:val="000F6746"/>
    <w:rsid w:val="001007C2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812"/>
    <w:rsid w:val="00217CEC"/>
    <w:rsid w:val="0022024F"/>
    <w:rsid w:val="002235E2"/>
    <w:rsid w:val="002238F9"/>
    <w:rsid w:val="00223EAB"/>
    <w:rsid w:val="00250591"/>
    <w:rsid w:val="00252DF2"/>
    <w:rsid w:val="002548DB"/>
    <w:rsid w:val="00271751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2CE4"/>
    <w:rsid w:val="002C44F3"/>
    <w:rsid w:val="002C7D0D"/>
    <w:rsid w:val="002F418C"/>
    <w:rsid w:val="002F465F"/>
    <w:rsid w:val="002F7EB2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4AEB"/>
    <w:rsid w:val="0038612D"/>
    <w:rsid w:val="003874C0"/>
    <w:rsid w:val="00396399"/>
    <w:rsid w:val="003B7EBC"/>
    <w:rsid w:val="003C3F1B"/>
    <w:rsid w:val="003C437B"/>
    <w:rsid w:val="003C5A56"/>
    <w:rsid w:val="003C61AC"/>
    <w:rsid w:val="003D6370"/>
    <w:rsid w:val="003E448E"/>
    <w:rsid w:val="003F0EA3"/>
    <w:rsid w:val="003F667E"/>
    <w:rsid w:val="0040317F"/>
    <w:rsid w:val="0040670E"/>
    <w:rsid w:val="004200BD"/>
    <w:rsid w:val="004203B7"/>
    <w:rsid w:val="00425A8B"/>
    <w:rsid w:val="00435696"/>
    <w:rsid w:val="00437F49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1D37"/>
    <w:rsid w:val="005D3E13"/>
    <w:rsid w:val="005D7191"/>
    <w:rsid w:val="005E3061"/>
    <w:rsid w:val="005F16AE"/>
    <w:rsid w:val="005F49D5"/>
    <w:rsid w:val="006016DF"/>
    <w:rsid w:val="0060607F"/>
    <w:rsid w:val="00606BB3"/>
    <w:rsid w:val="006135EC"/>
    <w:rsid w:val="0061471B"/>
    <w:rsid w:val="00625963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1AEA"/>
    <w:rsid w:val="006C734C"/>
    <w:rsid w:val="006E1095"/>
    <w:rsid w:val="006E6646"/>
    <w:rsid w:val="006E732F"/>
    <w:rsid w:val="006F2D77"/>
    <w:rsid w:val="00701B0E"/>
    <w:rsid w:val="00703ADE"/>
    <w:rsid w:val="00707193"/>
    <w:rsid w:val="007147AA"/>
    <w:rsid w:val="00714E30"/>
    <w:rsid w:val="00717834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74F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4BC4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3E23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511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035D"/>
    <w:rsid w:val="00A13321"/>
    <w:rsid w:val="00A25CCF"/>
    <w:rsid w:val="00A340FC"/>
    <w:rsid w:val="00A34BF0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342D0"/>
    <w:rsid w:val="00B41FC2"/>
    <w:rsid w:val="00B44133"/>
    <w:rsid w:val="00B45610"/>
    <w:rsid w:val="00B63E7C"/>
    <w:rsid w:val="00B70B70"/>
    <w:rsid w:val="00B733D9"/>
    <w:rsid w:val="00BC1823"/>
    <w:rsid w:val="00BC3476"/>
    <w:rsid w:val="00BC4876"/>
    <w:rsid w:val="00BC62BB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3DE3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A0F49"/>
    <w:rsid w:val="00DA4423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57060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F335F"/>
    <w:rsid w:val="00EF375E"/>
    <w:rsid w:val="00F02874"/>
    <w:rsid w:val="00F115B9"/>
    <w:rsid w:val="00F12416"/>
    <w:rsid w:val="00F128BD"/>
    <w:rsid w:val="00F36598"/>
    <w:rsid w:val="00F4075A"/>
    <w:rsid w:val="00F44BC1"/>
    <w:rsid w:val="00F51390"/>
    <w:rsid w:val="00F57C69"/>
    <w:rsid w:val="00F64710"/>
    <w:rsid w:val="00F66AD1"/>
    <w:rsid w:val="00F67BFB"/>
    <w:rsid w:val="00F734B4"/>
    <w:rsid w:val="00F734DA"/>
    <w:rsid w:val="00F74CD5"/>
    <w:rsid w:val="00F8308C"/>
    <w:rsid w:val="00FA00CC"/>
    <w:rsid w:val="00FA10EF"/>
    <w:rsid w:val="00FA2FAA"/>
    <w:rsid w:val="00FA5FC6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1168597"/>
    <w:rsid w:val="0269BFDD"/>
    <w:rsid w:val="02CE07D4"/>
    <w:rsid w:val="031DC60F"/>
    <w:rsid w:val="0438AF9F"/>
    <w:rsid w:val="043EC3F8"/>
    <w:rsid w:val="044A211B"/>
    <w:rsid w:val="0C0D497A"/>
    <w:rsid w:val="0CF8142C"/>
    <w:rsid w:val="0DF2FAA9"/>
    <w:rsid w:val="0E9E393B"/>
    <w:rsid w:val="12355A0F"/>
    <w:rsid w:val="12A0884C"/>
    <w:rsid w:val="134EB0F5"/>
    <w:rsid w:val="1366F188"/>
    <w:rsid w:val="13D684C7"/>
    <w:rsid w:val="15BA366A"/>
    <w:rsid w:val="170796B1"/>
    <w:rsid w:val="17344231"/>
    <w:rsid w:val="18980A37"/>
    <w:rsid w:val="1A00E604"/>
    <w:rsid w:val="1AE34492"/>
    <w:rsid w:val="1BC27CD9"/>
    <w:rsid w:val="1D051FAA"/>
    <w:rsid w:val="1F055E3D"/>
    <w:rsid w:val="21B22C53"/>
    <w:rsid w:val="232EF605"/>
    <w:rsid w:val="2431E68A"/>
    <w:rsid w:val="2520C5D2"/>
    <w:rsid w:val="2707EE9E"/>
    <w:rsid w:val="27A82C1F"/>
    <w:rsid w:val="27C8855C"/>
    <w:rsid w:val="29B12A9E"/>
    <w:rsid w:val="2B68E310"/>
    <w:rsid w:val="2BE648BE"/>
    <w:rsid w:val="3054FC45"/>
    <w:rsid w:val="309BEFA9"/>
    <w:rsid w:val="30CCE39D"/>
    <w:rsid w:val="340E09BC"/>
    <w:rsid w:val="34192B1F"/>
    <w:rsid w:val="3617E239"/>
    <w:rsid w:val="378806A8"/>
    <w:rsid w:val="3A62211B"/>
    <w:rsid w:val="3BED3445"/>
    <w:rsid w:val="3BF15663"/>
    <w:rsid w:val="3D2D73B8"/>
    <w:rsid w:val="3E64E73F"/>
    <w:rsid w:val="4035E06D"/>
    <w:rsid w:val="407E4126"/>
    <w:rsid w:val="41BBF70B"/>
    <w:rsid w:val="42626D72"/>
    <w:rsid w:val="438569F6"/>
    <w:rsid w:val="4385A541"/>
    <w:rsid w:val="4559D601"/>
    <w:rsid w:val="4681C9EF"/>
    <w:rsid w:val="48E8717A"/>
    <w:rsid w:val="495F70B4"/>
    <w:rsid w:val="49DE609F"/>
    <w:rsid w:val="4B9E6E78"/>
    <w:rsid w:val="52D441FD"/>
    <w:rsid w:val="5532F77A"/>
    <w:rsid w:val="58083B9E"/>
    <w:rsid w:val="5861DE92"/>
    <w:rsid w:val="58B99E41"/>
    <w:rsid w:val="5BB68122"/>
    <w:rsid w:val="5D654590"/>
    <w:rsid w:val="60D230D4"/>
    <w:rsid w:val="6284C7BF"/>
    <w:rsid w:val="62CE79AD"/>
    <w:rsid w:val="62EAAB7D"/>
    <w:rsid w:val="64DBA0A8"/>
    <w:rsid w:val="650EA185"/>
    <w:rsid w:val="6769910C"/>
    <w:rsid w:val="6985D2A3"/>
    <w:rsid w:val="69CA6BA3"/>
    <w:rsid w:val="6AB24CD6"/>
    <w:rsid w:val="6E8AF1A3"/>
    <w:rsid w:val="6F3BA065"/>
    <w:rsid w:val="705248C3"/>
    <w:rsid w:val="7273FEBB"/>
    <w:rsid w:val="73A901C5"/>
    <w:rsid w:val="74A18766"/>
    <w:rsid w:val="74BC24C9"/>
    <w:rsid w:val="75ABB3DA"/>
    <w:rsid w:val="7659656E"/>
    <w:rsid w:val="79F59C89"/>
    <w:rsid w:val="7A1BF1AE"/>
    <w:rsid w:val="7A26F2BD"/>
    <w:rsid w:val="7B320402"/>
    <w:rsid w:val="7DA5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2">
    <w:name w:val="heading 2"/>
    <w:basedOn w:val="Navaden"/>
    <w:link w:val="Naslov2Znak"/>
    <w:uiPriority w:val="9"/>
    <w:qFormat/>
    <w:rsid w:val="0060607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60607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tplmc">
    <w:name w:val="ztplmc"/>
    <w:basedOn w:val="Privzetapisavaodstavka"/>
    <w:rsid w:val="0060607F"/>
  </w:style>
  <w:style w:type="character" w:customStyle="1" w:styleId="jlqj4b">
    <w:name w:val="jlqj4b"/>
    <w:basedOn w:val="Privzetapisavaodstavka"/>
    <w:rsid w:val="0060607F"/>
  </w:style>
  <w:style w:type="character" w:styleId="Hiperpovezava">
    <w:name w:val="Hyperlink"/>
    <w:basedOn w:val="Privzetapisavaodstavka"/>
    <w:uiPriority w:val="99"/>
    <w:unhideWhenUsed/>
    <w:rsid w:val="003E448E"/>
    <w:rPr>
      <w:color w:val="auto"/>
      <w:u w:val="none"/>
    </w:rPr>
  </w:style>
  <w:style w:type="character" w:customStyle="1" w:styleId="mjx-char">
    <w:name w:val="mjx-char"/>
    <w:basedOn w:val="Privzetapisavaodstavka"/>
    <w:rsid w:val="001007C2"/>
  </w:style>
  <w:style w:type="character" w:customStyle="1" w:styleId="mjxassistivemathml">
    <w:name w:val="mjx_assistive_mathml"/>
    <w:basedOn w:val="Privzetapisavaodstavka"/>
    <w:rsid w:val="001007C2"/>
  </w:style>
  <w:style w:type="character" w:styleId="Nerazreenaomemba">
    <w:name w:val="Unresolved Mention"/>
    <w:basedOn w:val="Privzetapisavaodstavka"/>
    <w:uiPriority w:val="99"/>
    <w:semiHidden/>
    <w:unhideWhenUsed/>
    <w:rsid w:val="003E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71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.um.si/knjiznica/digitalna-knjiznica/e-knji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1826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2026-01-16T10:58:00Z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0e219fa89253e22c9cdaf4101c4053cba5725e00d33458af200c24d49153d758</vt:lpwstr>
  </property>
</Properties>
</file>