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6"/>
        <w:gridCol w:w="9"/>
        <w:gridCol w:w="143"/>
        <w:gridCol w:w="780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7F6C3E" w14:paraId="32EFBE4A" w14:textId="77777777" w:rsidTr="00955647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16ACCB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B63298" w:rsidRPr="007F6C3E" w14:paraId="299D6A9C" w14:textId="77777777" w:rsidTr="00955647">
        <w:tc>
          <w:tcPr>
            <w:tcW w:w="1797" w:type="dxa"/>
            <w:gridSpan w:val="2"/>
          </w:tcPr>
          <w:p w14:paraId="3263EEDB" w14:textId="77777777" w:rsidR="00B63298" w:rsidRPr="007F6C3E" w:rsidRDefault="00B63298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675" w14:textId="77777777" w:rsidR="00B63298" w:rsidRPr="007F6C3E" w:rsidRDefault="00682C60" w:rsidP="00682C6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F6C3E">
              <w:rPr>
                <w:rFonts w:asciiTheme="minorHAnsi" w:hAnsiTheme="minorHAnsi" w:cstheme="minorHAnsi"/>
                <w:color w:val="000000"/>
                <w:sz w:val="20"/>
                <w:szCs w:val="20"/>
                <w:lang w:val="sv-SE"/>
              </w:rPr>
              <w:t>VZPOSTAVITEV TRAJNOSTNIH KONCEPTOV DELOVANJA LOGISTIČNEGA PODJETJA</w:t>
            </w:r>
          </w:p>
        </w:tc>
      </w:tr>
      <w:tr w:rsidR="00B63298" w:rsidRPr="007F6C3E" w14:paraId="65E3C919" w14:textId="77777777" w:rsidTr="00955647">
        <w:tc>
          <w:tcPr>
            <w:tcW w:w="1797" w:type="dxa"/>
            <w:gridSpan w:val="2"/>
          </w:tcPr>
          <w:p w14:paraId="170FAFED" w14:textId="77777777" w:rsidR="00B63298" w:rsidRPr="007F6C3E" w:rsidRDefault="00B63298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D4FD" w14:textId="77777777" w:rsidR="00B63298" w:rsidRPr="007F6C3E" w:rsidRDefault="00CF6012" w:rsidP="00CF6012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CREATING SUSTAINABLE BUSINESS CONCEPTS IN LOGISTIC COMPANIES</w:t>
            </w:r>
          </w:p>
        </w:tc>
      </w:tr>
      <w:tr w:rsidR="005A11E4" w:rsidRPr="007F6C3E" w14:paraId="01E3FFF7" w14:textId="77777777" w:rsidTr="00955647">
        <w:tc>
          <w:tcPr>
            <w:tcW w:w="3305" w:type="dxa"/>
            <w:gridSpan w:val="5"/>
            <w:vAlign w:val="center"/>
          </w:tcPr>
          <w:p w14:paraId="6EA6A017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095894A9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64BC614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43FAA6F6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7F6C3E" w14:paraId="033498E7" w14:textId="77777777" w:rsidTr="00955647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F5CFB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6DFED024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3E671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562C7682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B43EE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4AF9A7C0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5439F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6D20178E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667ED1" w:rsidRPr="007F6C3E" w14:paraId="5C46562A" w14:textId="77777777" w:rsidTr="00955647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8234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C5C8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5FAC" w14:textId="77777777" w:rsidR="00667ED1" w:rsidRPr="007F6C3E" w:rsidRDefault="00682C60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3768" w14:textId="62111B46" w:rsidR="00667ED1" w:rsidRPr="007F6C3E" w:rsidRDefault="00147A0E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667ED1" w:rsidRPr="007F6C3E" w14:paraId="22DE14E6" w14:textId="77777777" w:rsidTr="00955647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6ABE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7F6C3E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BA90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0159" w14:textId="77777777" w:rsidR="00667ED1" w:rsidRPr="007F6C3E" w:rsidRDefault="00682C60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A7C5" w14:textId="2FD30B7D" w:rsidR="00667ED1" w:rsidRPr="007F6C3E" w:rsidRDefault="00147A0E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5A11E4" w:rsidRPr="007F6C3E" w14:paraId="3DF36939" w14:textId="77777777" w:rsidTr="00955647">
        <w:trPr>
          <w:trHeight w:val="103"/>
        </w:trPr>
        <w:tc>
          <w:tcPr>
            <w:tcW w:w="9695" w:type="dxa"/>
            <w:gridSpan w:val="17"/>
          </w:tcPr>
          <w:p w14:paraId="3CD47759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7F6C3E" w14:paraId="1357A207" w14:textId="77777777" w:rsidTr="00955647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E188C05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4EC06D43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E30" w14:textId="77777777" w:rsidR="005A11E4" w:rsidRPr="007F6C3E" w:rsidRDefault="00682C60" w:rsidP="008A6EE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7F6C3E" w14:paraId="0F62FC05" w14:textId="77777777" w:rsidTr="00955647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23EFB12C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B87" w14:textId="77777777" w:rsidR="005A11E4" w:rsidRPr="007F6C3E" w:rsidRDefault="00682C60" w:rsidP="008A6EE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7F6C3E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SELECTIVE</w:t>
            </w:r>
          </w:p>
        </w:tc>
      </w:tr>
      <w:tr w:rsidR="005A11E4" w:rsidRPr="007F6C3E" w14:paraId="6F1DF9B9" w14:textId="77777777" w:rsidTr="00955647">
        <w:tc>
          <w:tcPr>
            <w:tcW w:w="5716" w:type="dxa"/>
            <w:gridSpan w:val="11"/>
          </w:tcPr>
          <w:p w14:paraId="636AF45A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D04CD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7F6C3E" w14:paraId="4092F8EA" w14:textId="77777777" w:rsidTr="00955647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21275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435" w14:textId="77777777" w:rsidR="005A11E4" w:rsidRPr="007F6C3E" w:rsidRDefault="00667ED1" w:rsidP="008A6EE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MAG</w:t>
            </w:r>
          </w:p>
        </w:tc>
      </w:tr>
      <w:tr w:rsidR="005A11E4" w:rsidRPr="007F6C3E" w14:paraId="54EDAF15" w14:textId="77777777" w:rsidTr="00955647">
        <w:tc>
          <w:tcPr>
            <w:tcW w:w="9695" w:type="dxa"/>
            <w:gridSpan w:val="17"/>
          </w:tcPr>
          <w:p w14:paraId="616403AB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7F6C3E" w14:paraId="0F6D3D60" w14:textId="77777777" w:rsidTr="00955647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28B0D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087D4413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A931EB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1DECD3DF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88E123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B31CE5D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686AC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3B2959DD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6943E9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2D5F0635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DDA73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4323449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550CAB6F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9B623" w14:textId="77777777" w:rsidR="005A11E4" w:rsidRPr="007F6C3E" w:rsidRDefault="005A11E4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157001" w:rsidRPr="007F6C3E" w14:paraId="4FCC4AA7" w14:textId="77777777" w:rsidTr="00955647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84B7D" w14:textId="77777777" w:rsidR="00667ED1" w:rsidRPr="007F6C3E" w:rsidRDefault="007A1ED6" w:rsidP="008A6EE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  <w:r w:rsidR="00667ED1"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e-P</w:t>
            </w:r>
          </w:p>
          <w:p w14:paraId="40D4DC6B" w14:textId="77777777" w:rsidR="00667ED1" w:rsidRPr="007F6C3E" w:rsidRDefault="00D37D33" w:rsidP="007A1ED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7A1ED6"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667ED1" w:rsidRPr="007F6C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a-P</w:t>
            </w:r>
            <w:r w:rsidR="00667ED1" w:rsidRPr="007F6C3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8BED3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D8934" w14:textId="77777777" w:rsidR="00667ED1" w:rsidRPr="007F6C3E" w:rsidRDefault="00334FD5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19</w:t>
            </w:r>
            <w:r w:rsidR="00667ED1" w:rsidRPr="007F6C3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e-V</w:t>
            </w:r>
          </w:p>
          <w:p w14:paraId="386586F4" w14:textId="77777777" w:rsidR="00667ED1" w:rsidRPr="007F6C3E" w:rsidRDefault="00334FD5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21</w:t>
            </w:r>
            <w:r w:rsidR="00667ED1" w:rsidRPr="007F6C3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70A3F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0D0EE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BFD3A" w14:textId="77777777" w:rsidR="00667ED1" w:rsidRPr="007F6C3E" w:rsidRDefault="00CF6012" w:rsidP="00CF6012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100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E477A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8F002" w14:textId="77777777" w:rsidR="00667ED1" w:rsidRPr="007F6C3E" w:rsidRDefault="00CF6012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6</w:t>
            </w:r>
          </w:p>
        </w:tc>
      </w:tr>
      <w:tr w:rsidR="00157001" w:rsidRPr="007F6C3E" w14:paraId="16EB3233" w14:textId="77777777" w:rsidTr="00955647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8BEE8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0CD1B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96458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B4E27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1DAE6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9441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F4E43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A5994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67ED1" w:rsidRPr="007F6C3E" w14:paraId="4E9A56CC" w14:textId="77777777" w:rsidTr="00955647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812E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9375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CFDC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1B64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9788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0BD5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0B288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088A" w14:textId="77777777" w:rsidR="00667ED1" w:rsidRPr="007F6C3E" w:rsidRDefault="00667ED1" w:rsidP="008A6EE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7F6C3E" w14:paraId="3D1D511E" w14:textId="77777777" w:rsidTr="00955647">
        <w:tc>
          <w:tcPr>
            <w:tcW w:w="9695" w:type="dxa"/>
            <w:gridSpan w:val="17"/>
          </w:tcPr>
          <w:p w14:paraId="1200A096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7F6C3E" w14:paraId="5A96A9F5" w14:textId="77777777" w:rsidTr="00955647">
        <w:tc>
          <w:tcPr>
            <w:tcW w:w="3305" w:type="dxa"/>
            <w:gridSpan w:val="5"/>
          </w:tcPr>
          <w:p w14:paraId="28BDAF56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3C01" w14:textId="77777777" w:rsidR="005A11E4" w:rsidRPr="007F6C3E" w:rsidRDefault="00682C60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MATJAŽ KNEZ, </w:t>
            </w:r>
            <w:r w:rsidR="00B63298"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MATEVŽ OBRECHT</w:t>
            </w:r>
          </w:p>
        </w:tc>
      </w:tr>
      <w:tr w:rsidR="005A11E4" w:rsidRPr="007F6C3E" w14:paraId="4E163DAB" w14:textId="77777777" w:rsidTr="00955647">
        <w:tc>
          <w:tcPr>
            <w:tcW w:w="9695" w:type="dxa"/>
            <w:gridSpan w:val="17"/>
          </w:tcPr>
          <w:p w14:paraId="610313AA" w14:textId="77777777" w:rsidR="005A11E4" w:rsidRPr="007F6C3E" w:rsidRDefault="005A11E4" w:rsidP="008A6EE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67ED1" w:rsidRPr="007F6C3E" w14:paraId="597032CF" w14:textId="77777777" w:rsidTr="00955647">
        <w:tc>
          <w:tcPr>
            <w:tcW w:w="2296" w:type="dxa"/>
            <w:gridSpan w:val="3"/>
            <w:vMerge w:val="restart"/>
          </w:tcPr>
          <w:p w14:paraId="4648ABF4" w14:textId="77777777" w:rsidR="00667ED1" w:rsidRPr="007F6C3E" w:rsidRDefault="00667ED1" w:rsidP="008A6EE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6" w:type="dxa"/>
            <w:gridSpan w:val="4"/>
          </w:tcPr>
          <w:p w14:paraId="6CF97984" w14:textId="77777777" w:rsidR="00667ED1" w:rsidRPr="007F6C3E" w:rsidRDefault="00667ED1" w:rsidP="008A6EEC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C0E7" w14:textId="77777777" w:rsidR="00667ED1" w:rsidRPr="007F6C3E" w:rsidRDefault="00667ED1" w:rsidP="008A6EE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667ED1" w:rsidRPr="007F6C3E" w14:paraId="1F295BBB" w14:textId="77777777" w:rsidTr="00955647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405A27AF" w14:textId="77777777" w:rsidR="00667ED1" w:rsidRPr="007F6C3E" w:rsidRDefault="00667ED1" w:rsidP="008A6EEC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gridSpan w:val="4"/>
          </w:tcPr>
          <w:p w14:paraId="5DB14169" w14:textId="77777777" w:rsidR="00667ED1" w:rsidRPr="007F6C3E" w:rsidRDefault="00667ED1" w:rsidP="008A6EEC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3501" w14:textId="77777777" w:rsidR="00667ED1" w:rsidRPr="007F6C3E" w:rsidRDefault="00667ED1" w:rsidP="008A6EE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7F6C3E" w14:paraId="58365179" w14:textId="77777777" w:rsidTr="00955647">
        <w:tc>
          <w:tcPr>
            <w:tcW w:w="4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0CBDC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9896FDD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58957349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87496FA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0DE65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6F09FFD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955647" w:rsidRPr="00955647" w14:paraId="64596A17" w14:textId="77777777" w:rsidTr="00955647">
        <w:trPr>
          <w:trHeight w:val="275"/>
        </w:trPr>
        <w:tc>
          <w:tcPr>
            <w:tcW w:w="4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160" w14:textId="62081D53" w:rsidR="003342E4" w:rsidRPr="00955647" w:rsidRDefault="003342E4" w:rsidP="003342E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55647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  <w:r w:rsidR="00B63298" w:rsidRPr="0095564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0015C" w14:textId="77777777" w:rsidR="00B63298" w:rsidRPr="00955647" w:rsidRDefault="00B63298" w:rsidP="003342E4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D30" w14:textId="79CDA81A" w:rsidR="003342E4" w:rsidRPr="00955647" w:rsidRDefault="003342E4" w:rsidP="003342E4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55647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B63298" w:rsidRPr="007F6C3E" w14:paraId="2F4C9C39" w14:textId="77777777" w:rsidTr="00955647">
        <w:trPr>
          <w:trHeight w:val="137"/>
        </w:trPr>
        <w:tc>
          <w:tcPr>
            <w:tcW w:w="4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7E246" w14:textId="77777777" w:rsidR="00B63298" w:rsidRPr="007F6C3E" w:rsidRDefault="00B63298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1C0832D" w14:textId="77777777" w:rsidR="00B63298" w:rsidRPr="007F6C3E" w:rsidRDefault="00B63298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7F6C3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117536D5" w14:textId="77777777" w:rsidR="00B63298" w:rsidRPr="007F6C3E" w:rsidRDefault="00B63298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548EB" w14:textId="77777777" w:rsidR="00B63298" w:rsidRPr="007F6C3E" w:rsidRDefault="00B63298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38B3A69" w14:textId="77777777" w:rsidR="00B63298" w:rsidRPr="007F6C3E" w:rsidRDefault="00B63298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B63298" w:rsidRPr="007F6C3E" w14:paraId="42EE8EED" w14:textId="77777777" w:rsidTr="00955647">
        <w:trPr>
          <w:trHeight w:val="1119"/>
        </w:trPr>
        <w:tc>
          <w:tcPr>
            <w:tcW w:w="4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486" w14:textId="41A5226C" w:rsidR="00682C60" w:rsidRPr="007F6C3E" w:rsidRDefault="00682C60" w:rsidP="00147A0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Trajnostni poslovni modeli na primeru logističnih podjetij 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Specifike razvoja start-upov v logistiki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Primeri inovativnih poslovnih modelov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0DE8CE6" w14:textId="026379E2" w:rsidR="00682C60" w:rsidRPr="007F6C3E" w:rsidRDefault="00147A0E" w:rsidP="00147A0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82C60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anagement 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</w:rPr>
              <w:t>sprememb (</w:t>
            </w:r>
            <w:r w:rsidR="00682C60" w:rsidRPr="007F6C3E">
              <w:rPr>
                <w:rFonts w:asciiTheme="minorHAnsi" w:hAnsiTheme="minorHAnsi" w:cstheme="minorHAnsi"/>
                <w:sz w:val="20"/>
                <w:szCs w:val="20"/>
              </w:rPr>
              <w:t>vpeljava strateških sprememb v logističnih podjetjih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82C60" w:rsidRPr="007F6C3E">
              <w:rPr>
                <w:rFonts w:asciiTheme="minorHAnsi" w:hAnsiTheme="minorHAnsi" w:cstheme="minorHAnsi"/>
                <w:sz w:val="20"/>
                <w:szCs w:val="20"/>
              </w:rPr>
              <w:t>Upravljanje s spremembami pri vpeljavi zelenih tehnologij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82C60" w:rsidRPr="007F6C3E">
              <w:rPr>
                <w:rFonts w:asciiTheme="minorHAnsi" w:hAnsiTheme="minorHAnsi" w:cstheme="minorHAnsi"/>
                <w:sz w:val="20"/>
                <w:szCs w:val="20"/>
              </w:rPr>
              <w:t>Identificiranje novih poslovnih priložnosti na področju trajnostne logistike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4D033B0" w14:textId="3D477B6A" w:rsidR="00682C60" w:rsidRPr="007F6C3E" w:rsidRDefault="00682C60" w:rsidP="00147A0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CANVAS poslovni model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225BC281" w14:textId="4E353BD9" w:rsidR="00682C60" w:rsidRPr="007F6C3E" w:rsidRDefault="00682C60" w:rsidP="00147A0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Okoljski standardi in koncepti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(ISO, Green SCOR, integracija digitalizacije, trajnosti in poslovnih izboljšav skozi celotne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OV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354180FE" w14:textId="3B3E3A07" w:rsidR="008A6EEC" w:rsidRPr="007F6C3E" w:rsidRDefault="00682C60" w:rsidP="00147A0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Trajnostna potrošnja in proizvodnja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Strateško kolo ekodizajna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Priprava koncepta, strategij in aktivnosti ekodizajna za vpeljavo v logistično podjetje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79B" w14:textId="77777777" w:rsidR="00B63298" w:rsidRPr="007F6C3E" w:rsidRDefault="00B63298" w:rsidP="00147A0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AC27" w14:textId="5D44E786" w:rsidR="007A1ED6" w:rsidRPr="007F6C3E" w:rsidRDefault="003D48E5" w:rsidP="00147A0E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Logistics companies based on sustainable business models 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Specifics of start-up development in logistics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Cases of innovative business models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54A01BA6" w14:textId="3772D65F" w:rsidR="00D37D33" w:rsidRPr="007F6C3E" w:rsidRDefault="007A1ED6" w:rsidP="00147A0E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Change m</w:t>
            </w:r>
            <w:r w:rsidR="003D48E5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anagement 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D48E5" w:rsidRPr="007F6C3E">
              <w:rPr>
                <w:rFonts w:asciiTheme="minorHAnsi" w:hAnsiTheme="minorHAnsi" w:cstheme="minorHAnsi"/>
                <w:sz w:val="20"/>
                <w:szCs w:val="20"/>
              </w:rPr>
              <w:t>strategic changes in logistics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, integration of green technology, </w:t>
            </w:r>
            <w:r w:rsidR="00D37D33" w:rsidRPr="007F6C3E">
              <w:rPr>
                <w:rFonts w:asciiTheme="minorHAnsi" w:hAnsiTheme="minorHAnsi" w:cstheme="minorHAnsi"/>
                <w:sz w:val="20"/>
                <w:szCs w:val="20"/>
              </w:rPr>
              <w:t>Identifying new business opportunities in sustainable logistics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519416" w14:textId="4B96DA6B" w:rsidR="003D48E5" w:rsidRPr="007F6C3E" w:rsidRDefault="003D48E5" w:rsidP="00147A0E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CANVAS </w:t>
            </w:r>
            <w:r w:rsidR="00D37D33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business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model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5DAACF3B" w14:textId="4711C6CE" w:rsidR="00D37D33" w:rsidRPr="007F6C3E" w:rsidRDefault="00D37D33" w:rsidP="00147A0E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Environmental standards and concepts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(ISO, Green SCOR, integration o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 digitalisation 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and sustainability through 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whole supply chain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7CDCEFF5" w14:textId="1004A3AE" w:rsidR="00B63298" w:rsidRPr="007F6C3E" w:rsidRDefault="00D37D33" w:rsidP="00147A0E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Sustainable consumption and production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Ecodesign 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concept and 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strategy wheel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strategies and measures 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logistics companies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  <w:tr w:rsidR="005A11E4" w:rsidRPr="007F6C3E" w14:paraId="12D2E732" w14:textId="77777777" w:rsidTr="00147A0E">
        <w:tc>
          <w:tcPr>
            <w:tcW w:w="9695" w:type="dxa"/>
            <w:gridSpan w:val="17"/>
            <w:tcBorders>
              <w:bottom w:val="single" w:sz="4" w:space="0" w:color="auto"/>
            </w:tcBorders>
          </w:tcPr>
          <w:p w14:paraId="4E32604C" w14:textId="77777777" w:rsidR="007F6C3E" w:rsidRDefault="005A11E4" w:rsidP="008A6EE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</w:p>
          <w:p w14:paraId="490D0057" w14:textId="4149FB16" w:rsidR="00667ED1" w:rsidRPr="007F6C3E" w:rsidRDefault="005A11E4" w:rsidP="008A6EEC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8A1F0F" w:rsidRPr="007F6C3E" w14:paraId="652A6AB0" w14:textId="77777777" w:rsidTr="00147A0E">
        <w:trPr>
          <w:trHeight w:val="20"/>
        </w:trPr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79F" w14:textId="3512EB86" w:rsidR="00B63298" w:rsidRPr="007F6C3E" w:rsidRDefault="00B63298" w:rsidP="00955647">
            <w:pPr>
              <w:tabs>
                <w:tab w:val="num" w:pos="360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Osnovna literature/Essential</w:t>
            </w:r>
            <w:r w:rsidR="009556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sources: </w:t>
            </w:r>
          </w:p>
          <w:p w14:paraId="27DC2CDA" w14:textId="77777777" w:rsidR="00955647" w:rsidRDefault="00B63298" w:rsidP="0095564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Izbrana poglavja iz/Some Chapters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95564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7646990" w14:textId="58BB6345" w:rsidR="00430D3D" w:rsidRPr="007F6C3E" w:rsidRDefault="00430D3D" w:rsidP="0095564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Marinova, D., Annandale, D. &amp; Phillimore, J. (Ed.). (2008).  </w:t>
            </w:r>
            <w:r w:rsidRPr="007F6C3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 international Handbook on Environmental Technology Management.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Edward Elgar Publishing.</w:t>
            </w:r>
          </w:p>
          <w:p w14:paraId="3A8BF084" w14:textId="77777777" w:rsidR="00955647" w:rsidRDefault="00B63298" w:rsidP="00955647">
            <w:pPr>
              <w:pStyle w:val="Default"/>
              <w:ind w:left="283" w:hanging="28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7F6C3E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Dodatna literature/Additional</w:t>
            </w:r>
            <w:r w:rsidR="00147A0E" w:rsidRPr="007F6C3E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7F6C3E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sources: </w:t>
            </w:r>
          </w:p>
          <w:p w14:paraId="47A0F819" w14:textId="77777777" w:rsidR="00955647" w:rsidRDefault="00FF4F48" w:rsidP="00955647">
            <w:pPr>
              <w:pStyle w:val="Default"/>
              <w:ind w:left="283" w:hanging="284"/>
              <w:jc w:val="both"/>
              <w:rPr>
                <w:rFonts w:asciiTheme="minorHAnsi" w:hAnsiTheme="minorHAnsi" w:cstheme="minorHAnsi"/>
                <w:sz w:val="20"/>
              </w:rPr>
            </w:pPr>
            <w:r w:rsidRPr="007F6C3E">
              <w:rPr>
                <w:rFonts w:asciiTheme="minorHAnsi" w:hAnsiTheme="minorHAnsi" w:cstheme="minorHAnsi"/>
                <w:sz w:val="20"/>
              </w:rPr>
              <w:t>Bouhaddou, I., Benabdelhafid, A., Ouzizi, L. &amp; Benghabrit, Y. (2012). PLM (Product Lifecycle Management) Model for</w:t>
            </w:r>
          </w:p>
          <w:p w14:paraId="1A171962" w14:textId="77777777" w:rsidR="00955647" w:rsidRDefault="00FF4F48" w:rsidP="00955647">
            <w:pPr>
              <w:pStyle w:val="Default"/>
              <w:ind w:left="283" w:hanging="284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7F6C3E">
              <w:rPr>
                <w:rFonts w:asciiTheme="minorHAnsi" w:hAnsiTheme="minorHAnsi" w:cstheme="minorHAnsi"/>
                <w:sz w:val="20"/>
              </w:rPr>
              <w:t xml:space="preserve">Supply Chain Optimization. In L. Rivest, A. Bouras, B. Louhichi (Eds.) </w:t>
            </w:r>
            <w:r w:rsidRPr="007F6C3E">
              <w:rPr>
                <w:rFonts w:asciiTheme="minorHAnsi" w:hAnsiTheme="minorHAnsi" w:cstheme="minorHAnsi"/>
                <w:i/>
                <w:iCs/>
                <w:sz w:val="20"/>
              </w:rPr>
              <w:t>Product Lifecycle Management. Towards</w:t>
            </w:r>
          </w:p>
          <w:p w14:paraId="74BF2CE6" w14:textId="03357695" w:rsidR="00DF48A4" w:rsidRPr="00955647" w:rsidRDefault="00FF4F48" w:rsidP="00955647">
            <w:pPr>
              <w:pStyle w:val="Default"/>
              <w:ind w:left="283" w:hanging="284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7F6C3E">
              <w:rPr>
                <w:rFonts w:asciiTheme="minorHAnsi" w:hAnsiTheme="minorHAnsi" w:cstheme="minorHAnsi"/>
                <w:i/>
                <w:iCs/>
                <w:sz w:val="20"/>
              </w:rPr>
              <w:t>Knowledge-Rich Enterprises.</w:t>
            </w:r>
            <w:r w:rsidRPr="007F6C3E">
              <w:rPr>
                <w:rFonts w:asciiTheme="minorHAnsi" w:hAnsiTheme="minorHAnsi" w:cstheme="minorHAnsi"/>
                <w:sz w:val="20"/>
              </w:rPr>
              <w:t xml:space="preserve"> PLM 2012. Springer. https://doi.org/10.1007/978-3-642-35758-9_12</w:t>
            </w:r>
            <w:r w:rsidR="00955647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5A11E4" w:rsidRPr="007F6C3E" w14:paraId="2ACDA951" w14:textId="77777777" w:rsidTr="00147A0E">
        <w:trPr>
          <w:trHeight w:val="73"/>
        </w:trPr>
        <w:tc>
          <w:tcPr>
            <w:tcW w:w="4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BDAF3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241B5D2B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48D1F9A3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2B2D7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773A6A9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667ED1" w:rsidRPr="007F6C3E" w14:paraId="2440EA9C" w14:textId="77777777" w:rsidTr="00147A0E">
        <w:trPr>
          <w:trHeight w:val="778"/>
        </w:trPr>
        <w:tc>
          <w:tcPr>
            <w:tcW w:w="4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4F16" w14:textId="77777777" w:rsidR="00682C60" w:rsidRPr="007F6C3E" w:rsidRDefault="00B63298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Osnovni namen predmeta je </w:t>
            </w:r>
            <w:r w:rsidR="002675F4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identificirati </w:t>
            </w:r>
            <w:r w:rsidR="0057113C" w:rsidRPr="007F6C3E">
              <w:rPr>
                <w:rFonts w:asciiTheme="minorHAnsi" w:hAnsiTheme="minorHAnsi" w:cstheme="minorHAnsi"/>
                <w:sz w:val="20"/>
                <w:szCs w:val="20"/>
              </w:rPr>
              <w:t>nov</w:t>
            </w:r>
            <w:r w:rsidR="002675F4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="00682C60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poslovne modele </w:t>
            </w:r>
            <w:r w:rsidR="0057113C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s področja </w:t>
            </w:r>
            <w:r w:rsidR="00682C60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delovanja </w:t>
            </w:r>
            <w:r w:rsidR="0057113C" w:rsidRPr="007F6C3E">
              <w:rPr>
                <w:rFonts w:asciiTheme="minorHAnsi" w:hAnsiTheme="minorHAnsi" w:cstheme="minorHAnsi"/>
                <w:sz w:val="20"/>
                <w:szCs w:val="20"/>
              </w:rPr>
              <w:t>logisti</w:t>
            </w:r>
            <w:r w:rsidR="00682C60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čnih podjetij </w:t>
            </w:r>
            <w:r w:rsidR="0057113C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ter</w:t>
            </w:r>
            <w:r w:rsidR="00682C60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jih povezati s trajnostnimi koncepti in strategijami za vpeljavo novih pogojev poslovanja. </w:t>
            </w:r>
          </w:p>
          <w:p w14:paraId="2E17BD7C" w14:textId="77777777" w:rsidR="00B63298" w:rsidRPr="007F6C3E" w:rsidRDefault="00B63298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CD0441" w14:textId="77777777" w:rsidR="002675F4" w:rsidRPr="007F6C3E" w:rsidRDefault="00B63298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Temeljni cilji predmeta so</w:t>
            </w:r>
            <w:r w:rsidR="002675F4" w:rsidRPr="007F6C3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7291305" w14:textId="633C94D5" w:rsidR="00603194" w:rsidRPr="007F6C3E" w:rsidRDefault="00603194" w:rsidP="00955647">
            <w:pPr>
              <w:pStyle w:val="Odstavekseznam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Identificirati in primerjalno analizirati ključne </w:t>
            </w:r>
            <w:r w:rsidR="00682C60" w:rsidRPr="007F6C3E">
              <w:rPr>
                <w:rFonts w:asciiTheme="minorHAnsi" w:hAnsiTheme="minorHAnsi" w:cstheme="minorHAnsi"/>
                <w:sz w:val="20"/>
                <w:szCs w:val="20"/>
              </w:rPr>
              <w:t>poslovne modele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v logistiki in OV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CB85C0" w14:textId="2626A1B9" w:rsidR="002675F4" w:rsidRPr="007F6C3E" w:rsidRDefault="00682C60" w:rsidP="00955647">
            <w:pPr>
              <w:pStyle w:val="Odstavekseznam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Primerjalno analizirati in izbirati najprimernejše</w:t>
            </w:r>
            <w:r w:rsidR="00B63298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koncepte trajnostnega poslovanja podjetja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7113C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3D6F5E8" w14:textId="4172F714" w:rsidR="00603194" w:rsidRPr="007F6C3E" w:rsidRDefault="00603194" w:rsidP="00955647">
            <w:pPr>
              <w:pStyle w:val="Odstavekseznam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Povezati (souporabljati) različna managerska orodja in koncepte </w:t>
            </w:r>
            <w:r w:rsidR="00682C60" w:rsidRPr="007F6C3E">
              <w:rPr>
                <w:rFonts w:asciiTheme="minorHAnsi" w:hAnsiTheme="minorHAnsi" w:cstheme="minorHAnsi"/>
                <w:sz w:val="20"/>
                <w:szCs w:val="20"/>
              </w:rPr>
              <w:t>za kreiranje zelenih poslovnih modelov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A4B958" w14:textId="727D9440" w:rsidR="00355450" w:rsidRPr="007F6C3E" w:rsidRDefault="00603194" w:rsidP="00955647">
            <w:pPr>
              <w:pStyle w:val="Odstavekseznam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Povzeti in formulirati </w:t>
            </w:r>
            <w:r w:rsidR="00355450" w:rsidRPr="007F6C3E">
              <w:rPr>
                <w:rFonts w:asciiTheme="minorHAnsi" w:hAnsiTheme="minorHAnsi" w:cstheme="minorHAnsi"/>
                <w:sz w:val="20"/>
                <w:szCs w:val="20"/>
              </w:rPr>
              <w:t>nove poslovne modele, ki ustvarjajo vrednost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2674CAB" w14:textId="77777777" w:rsidR="009200FE" w:rsidRPr="007F6C3E" w:rsidRDefault="009200FE" w:rsidP="00955647">
            <w:pPr>
              <w:pStyle w:val="Odstavekseznam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sintetizirati informacije s področja poslovnih modelov v logistiki, na način,</w:t>
            </w:r>
            <w:r w:rsidRPr="007F6C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ki je lahko inovativen in vidi uporabno vrednost znanja ali procesov z vidika predmeta in prakse.</w:t>
            </w:r>
          </w:p>
          <w:p w14:paraId="7FF524F1" w14:textId="77777777" w:rsidR="009200FE" w:rsidRPr="007F6C3E" w:rsidRDefault="009200FE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09031A" w14:textId="77777777" w:rsidR="009200FE" w:rsidRPr="007F6C3E" w:rsidRDefault="009200FE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Kompetence, ki jih pridobijo študentje:</w:t>
            </w:r>
          </w:p>
          <w:p w14:paraId="72C8CBCB" w14:textId="77777777" w:rsidR="009200FE" w:rsidRPr="007F6C3E" w:rsidRDefault="009200FE" w:rsidP="00955647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Spoznajo in razumejo uporabo novih veščin in konceptov za nove okoliščine.</w:t>
            </w:r>
          </w:p>
          <w:p w14:paraId="1C3F124D" w14:textId="451EDC72" w:rsidR="009200FE" w:rsidRPr="007F6C3E" w:rsidRDefault="009200FE" w:rsidP="00955647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Se naučijo samostojnega oblikovanja novih poslovnih modelov in</w:t>
            </w:r>
            <w:r w:rsidRPr="007F6C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sprejemanja odločitev o primernih strategijah za vpeljavo sprememb</w:t>
            </w:r>
            <w:r w:rsidR="00DA3D92" w:rsidRPr="007F6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AADC8A6" w14:textId="0A52821A" w:rsidR="009200FE" w:rsidRPr="007F6C3E" w:rsidRDefault="009200FE" w:rsidP="00955647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Se naučijo uporabe podpornih managerskih orodij (CANVAS, ISO standardi, Ekodizajn strategy wheel)</w:t>
            </w:r>
            <w:r w:rsidR="00DA3D92" w:rsidRPr="007F6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2B43C0" w14:textId="77777777" w:rsidR="00147A0E" w:rsidRPr="007F6C3E" w:rsidRDefault="009200FE" w:rsidP="00955647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Se naučijo praktičnega dela v skupini pri razvoju novih idej in konceptov kot vodja ali kot član.</w:t>
            </w:r>
            <w:r w:rsidRPr="007F6C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7F75661" w14:textId="1E0058EA" w:rsidR="009200FE" w:rsidRPr="007F6C3E" w:rsidRDefault="009200FE" w:rsidP="00955647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Zna pojasniti naloge in ustrezno uporabiti</w:t>
            </w:r>
            <w:r w:rsidRPr="007F6C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zmožnosti članov skupine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6B9AB6B" w14:textId="77777777" w:rsidR="009200FE" w:rsidRPr="007F6C3E" w:rsidRDefault="009200FE" w:rsidP="00955647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Spoznajo in razumejo delovanje v kompleksnih in/ali posebnih okoliščinah in pomen  iniciativnosti pri vpeljavi sprememb na področju trajnostnega razvoja.</w:t>
            </w:r>
          </w:p>
          <w:p w14:paraId="3BF1FC17" w14:textId="16E52D5D" w:rsidR="009200FE" w:rsidRDefault="009200FE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09F6DD" w14:textId="26507153" w:rsidR="00955647" w:rsidRDefault="00955647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184C80" w14:textId="77777777" w:rsidR="00955647" w:rsidRPr="007F6C3E" w:rsidRDefault="00955647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443CFA" w14:textId="77777777" w:rsidR="00667ED1" w:rsidRPr="007F6C3E" w:rsidRDefault="00B63298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Z vidika predmetnika je predmet </w:t>
            </w:r>
            <w:r w:rsidR="00355450" w:rsidRPr="007F6C3E">
              <w:rPr>
                <w:rFonts w:asciiTheme="minorHAnsi" w:hAnsiTheme="minorHAnsi" w:cstheme="minorHAnsi"/>
                <w:sz w:val="20"/>
                <w:szCs w:val="20"/>
              </w:rPr>
              <w:t>Vzpostavitev trajnostnih konceptov delovanja logističnega podjetja</w:t>
            </w:r>
            <w:r w:rsidR="008A6EEC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mogoče opredeliti kot nadgradnjo predmetov </w:t>
            </w:r>
            <w:r w:rsidR="009B0EB6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vezanih na upravljanje 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logistike in </w:t>
            </w:r>
            <w:r w:rsidR="009B0EB6" w:rsidRPr="007F6C3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355450" w:rsidRPr="007F6C3E">
              <w:rPr>
                <w:rFonts w:asciiTheme="minorHAnsi" w:hAnsiTheme="minorHAnsi" w:cstheme="minorHAnsi"/>
                <w:sz w:val="20"/>
                <w:szCs w:val="20"/>
              </w:rPr>
              <w:t>, poslovne procese ter zelene tehnologije in trajnostne oskrbovalne verige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ter osnovo za nadaljnji samostojni študij študentov na področju</w:t>
            </w:r>
            <w:r w:rsidR="009B0EB6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55450" w:rsidRPr="007F6C3E">
              <w:rPr>
                <w:rFonts w:asciiTheme="minorHAnsi" w:hAnsiTheme="minorHAnsi" w:cstheme="minorHAnsi"/>
                <w:sz w:val="20"/>
                <w:szCs w:val="20"/>
              </w:rPr>
              <w:t>kreiranja in primerjalne analize inovativnih konceptov trajnostnega delovanja logističnih podjetij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3F4F3" w14:textId="77777777" w:rsidR="00667ED1" w:rsidRPr="007F6C3E" w:rsidRDefault="00667ED1" w:rsidP="00955647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59D" w14:textId="77777777" w:rsidR="00B63298" w:rsidRPr="007F6C3E" w:rsidRDefault="00B63298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course introduces the subject of </w:t>
            </w:r>
            <w:r w:rsidR="00F64D66"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business models on the field of sustainable logistics operations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its </w:t>
            </w:r>
            <w:r w:rsidR="00F64D66"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relations with sustainability business concepts and </w:t>
            </w:r>
            <w:r w:rsidR="00F64D66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strategies for implementing changes in organisations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</w:t>
            </w:r>
          </w:p>
          <w:p w14:paraId="3F679884" w14:textId="77777777" w:rsidR="00B63298" w:rsidRPr="007F6C3E" w:rsidRDefault="00B63298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0452C770" w14:textId="77777777" w:rsidR="003D48E5" w:rsidRPr="007F6C3E" w:rsidRDefault="003D48E5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Basic objectives:</w:t>
            </w:r>
          </w:p>
          <w:p w14:paraId="76B9D21A" w14:textId="518F8679" w:rsidR="003D48E5" w:rsidRPr="007F6C3E" w:rsidRDefault="003D48E5" w:rsidP="00955647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and comparatively analyse core business models in logistics and supply chains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51BE150C" w14:textId="0A26B171" w:rsidR="003D48E5" w:rsidRPr="007F6C3E" w:rsidRDefault="003D48E5" w:rsidP="00955647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comparative analysis of most appropriate sustainable business concepts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043A52E4" w14:textId="77777777" w:rsidR="003D48E5" w:rsidRPr="007F6C3E" w:rsidRDefault="003D48E5" w:rsidP="00955647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Connect and inter-relate different managerial tools to create new green business models.</w:t>
            </w:r>
          </w:p>
          <w:p w14:paraId="4C8AAD06" w14:textId="0971FB98" w:rsidR="003D48E5" w:rsidRPr="007F6C3E" w:rsidRDefault="003D48E5" w:rsidP="00955647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Summarize and formulate new business models that create new value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7F1CA1DB" w14:textId="77777777" w:rsidR="000941E6" w:rsidRPr="007F6C3E" w:rsidRDefault="000941E6" w:rsidP="00955647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Sinthesise information on business models in an innovative way and can see practical value of gained knowledge.</w:t>
            </w:r>
          </w:p>
          <w:p w14:paraId="087A573B" w14:textId="6AD832ED" w:rsidR="000941E6" w:rsidRPr="007F6C3E" w:rsidRDefault="000941E6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26AE61" w14:textId="77777777" w:rsidR="00DA3D92" w:rsidRPr="007F6C3E" w:rsidRDefault="00DA3D92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87131E6" w14:textId="74CDAAE4" w:rsidR="000941E6" w:rsidRPr="007F6C3E" w:rsidRDefault="000941E6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Core competencies:</w:t>
            </w:r>
          </w:p>
          <w:p w14:paraId="099418A1" w14:textId="2A9F8786" w:rsidR="000941E6" w:rsidRPr="007F6C3E" w:rsidRDefault="000941E6" w:rsidP="00955647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and understand use of new skills, concepts and models related to new business environment</w:t>
            </w:r>
            <w:r w:rsidR="00DA3D92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11818453" w14:textId="232D01A3" w:rsidR="000941E6" w:rsidRPr="007F6C3E" w:rsidRDefault="000941E6" w:rsidP="00955647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Can demonstrate initiative and originality in problem</w:t>
            </w:r>
            <w:r w:rsidRPr="007F6C3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solving. Can act autonomously in planning and</w:t>
            </w:r>
            <w:r w:rsidRPr="007F6C3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implementing tasks at a professional or equivalent</w:t>
            </w:r>
            <w:r w:rsidR="00147A0E"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30BE2198" w14:textId="40076D93" w:rsidR="000941E6" w:rsidRPr="007F6C3E" w:rsidRDefault="00147A0E" w:rsidP="00955647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Are</w:t>
            </w:r>
            <w:r w:rsidR="000941E6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able to use managerial tools (CANVAS, ISO standards, ECODESIGN strategy wheel)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656BC960" w14:textId="77777777" w:rsidR="00147A0E" w:rsidRPr="007F6C3E" w:rsidRDefault="000941E6" w:rsidP="00955647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Can work effectively with a group as leader or member. </w:t>
            </w:r>
          </w:p>
          <w:p w14:paraId="091B9BF7" w14:textId="27939FF2" w:rsidR="000941E6" w:rsidRPr="007F6C3E" w:rsidRDefault="000941E6" w:rsidP="00955647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Can clarify tasks and make appropriate use of the capacities of group members. Is able to use full range of learning resources.</w:t>
            </w:r>
          </w:p>
          <w:p w14:paraId="033AFABF" w14:textId="77777777" w:rsidR="000941E6" w:rsidRPr="007F6C3E" w:rsidRDefault="000941E6" w:rsidP="00955647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With critical awareness can undertake analysis of</w:t>
            </w:r>
            <w:r w:rsidRPr="007F6C3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complex, incomplete areas (business models, concepts, strategies) and understands the importance of self-initiatives in managing changes related with business sustainability. </w:t>
            </w:r>
          </w:p>
          <w:p w14:paraId="08B224B7" w14:textId="77777777" w:rsidR="000941E6" w:rsidRPr="007F6C3E" w:rsidRDefault="000941E6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35374438" w14:textId="77777777" w:rsidR="003D48E5" w:rsidRPr="007F6C3E" w:rsidRDefault="003D48E5" w:rsidP="0095564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purpose of the course is seen as an upgrade of logistics and supply chain processes related and green technology and sustainability concepts related bachelor courses and a strong base for further individual or group studies in the field of creating and comparing innovative sustainable logistics companies and business concepts.</w:t>
            </w:r>
          </w:p>
        </w:tc>
      </w:tr>
    </w:tbl>
    <w:p w14:paraId="5F2A77C2" w14:textId="77777777" w:rsidR="00955647" w:rsidRDefault="00955647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713"/>
        <w:gridCol w:w="143"/>
        <w:gridCol w:w="704"/>
        <w:gridCol w:w="4117"/>
      </w:tblGrid>
      <w:tr w:rsidR="00667ED1" w:rsidRPr="007F6C3E" w14:paraId="38A820DC" w14:textId="77777777" w:rsidTr="00955647">
        <w:trPr>
          <w:trHeight w:val="117"/>
        </w:trPr>
        <w:tc>
          <w:tcPr>
            <w:tcW w:w="4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17D5" w14:textId="7A3BB20C" w:rsidR="00667ED1" w:rsidRPr="007F6C3E" w:rsidRDefault="00667ED1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C202E91" w14:textId="77777777" w:rsidR="00667ED1" w:rsidRPr="007F6C3E" w:rsidRDefault="00667ED1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09A74D4A" w14:textId="77777777" w:rsidR="00667ED1" w:rsidRPr="007F6C3E" w:rsidRDefault="00667ED1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24CD6D6" w14:textId="77777777" w:rsidR="00667ED1" w:rsidRPr="007F6C3E" w:rsidRDefault="00667ED1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AD079" w14:textId="77777777" w:rsidR="00667ED1" w:rsidRPr="007F6C3E" w:rsidRDefault="00667ED1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D7C67D4" w14:textId="77777777" w:rsidR="00667ED1" w:rsidRPr="007F6C3E" w:rsidRDefault="00667ED1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B63298" w:rsidRPr="007F6C3E" w14:paraId="79E271E8" w14:textId="77777777" w:rsidTr="00955647">
        <w:trPr>
          <w:trHeight w:val="410"/>
        </w:trPr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6088" w14:textId="77777777" w:rsidR="00B63298" w:rsidRPr="007F6C3E" w:rsidRDefault="00B63298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Znanje in razumevanje:</w:t>
            </w:r>
          </w:p>
          <w:p w14:paraId="40E0F542" w14:textId="77777777" w:rsidR="00B63298" w:rsidRPr="007F6C3E" w:rsidRDefault="00B63298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Ob zaključku predmeta bodo udeleženci:</w:t>
            </w:r>
          </w:p>
          <w:p w14:paraId="112DB321" w14:textId="77777777" w:rsidR="00B63298" w:rsidRPr="007F6C3E" w:rsidRDefault="00B63298" w:rsidP="00955647">
            <w:pPr>
              <w:pStyle w:val="Odstavekseznam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pridobili splošno znanje o </w:t>
            </w:r>
            <w:r w:rsidR="00355450" w:rsidRPr="007F6C3E">
              <w:rPr>
                <w:rFonts w:asciiTheme="minorHAnsi" w:hAnsiTheme="minorHAnsi" w:cstheme="minorHAnsi"/>
                <w:sz w:val="20"/>
                <w:szCs w:val="20"/>
              </w:rPr>
              <w:t>poslovnih modelih in konceptih</w:t>
            </w:r>
            <w:r w:rsidR="009200FE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specifično znanje o uporabi </w:t>
            </w:r>
            <w:r w:rsidR="00355450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poslovnih 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konceptov v različnih organizacijskih sistemih</w:t>
            </w:r>
            <w:r w:rsidR="00603194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in okoljih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13DBDC6" w14:textId="77777777" w:rsidR="00B63298" w:rsidRPr="007F6C3E" w:rsidRDefault="002A5EB2" w:rsidP="00955647">
            <w:pPr>
              <w:pStyle w:val="Odstavekseznam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znali identificirati i</w:t>
            </w:r>
            <w:r w:rsidR="00355450" w:rsidRPr="007F6C3E">
              <w:rPr>
                <w:rFonts w:asciiTheme="minorHAnsi" w:hAnsiTheme="minorHAnsi" w:cstheme="minorHAnsi"/>
                <w:sz w:val="20"/>
                <w:szCs w:val="20"/>
              </w:rPr>
              <w:t>novativn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55450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poslovn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55450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model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55450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in jih uporabiti pri </w:t>
            </w:r>
            <w:r w:rsidR="00355450" w:rsidRPr="007F6C3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03194" w:rsidRPr="007F6C3E">
              <w:rPr>
                <w:rFonts w:asciiTheme="minorHAnsi" w:hAnsiTheme="minorHAnsi" w:cstheme="minorHAnsi"/>
                <w:sz w:val="20"/>
                <w:szCs w:val="20"/>
              </w:rPr>
              <w:t>blikovanj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03194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298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koncepta </w:t>
            </w:r>
            <w:r w:rsidR="00355450" w:rsidRPr="007F6C3E">
              <w:rPr>
                <w:rFonts w:asciiTheme="minorHAnsi" w:hAnsiTheme="minorHAnsi" w:cstheme="minorHAnsi"/>
                <w:sz w:val="20"/>
                <w:szCs w:val="20"/>
              </w:rPr>
              <w:t>trajnostnega logističnega podjetja</w:t>
            </w:r>
            <w:r w:rsidR="00B63298" w:rsidRPr="007F6C3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C39B087" w14:textId="77777777" w:rsidR="00955647" w:rsidRPr="00955647" w:rsidRDefault="00B63298" w:rsidP="00955647">
            <w:pPr>
              <w:pStyle w:val="Odstavekseznam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razvili sposobnost razumevanja organizacije z</w:t>
            </w:r>
            <w:r w:rsidR="009556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5647">
              <w:rPr>
                <w:rFonts w:asciiTheme="minorHAnsi" w:hAnsiTheme="minorHAnsi" w:cstheme="minorHAnsi"/>
                <w:sz w:val="20"/>
                <w:szCs w:val="20"/>
              </w:rPr>
              <w:t xml:space="preserve">vidika managementa </w:t>
            </w:r>
            <w:r w:rsidR="00355450" w:rsidRPr="00955647">
              <w:rPr>
                <w:rFonts w:asciiTheme="minorHAnsi" w:hAnsiTheme="minorHAnsi" w:cstheme="minorHAnsi"/>
                <w:sz w:val="20"/>
                <w:szCs w:val="20"/>
              </w:rPr>
              <w:t>sprememb</w:t>
            </w:r>
            <w:r w:rsidRPr="0095564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5F0FF0C3" w14:textId="08D41BC3" w:rsidR="00B63298" w:rsidRPr="00955647" w:rsidRDefault="002A5EB2" w:rsidP="00955647">
            <w:pPr>
              <w:pStyle w:val="Odstavekseznam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647">
              <w:rPr>
                <w:rFonts w:asciiTheme="minorHAnsi" w:hAnsiTheme="minorHAnsi" w:cstheme="minorHAnsi"/>
                <w:sz w:val="20"/>
                <w:szCs w:val="20"/>
              </w:rPr>
              <w:t>znali uporabiti orodja ekodizajna v logističnih podjetjih</w:t>
            </w:r>
            <w:r w:rsidR="00B63298" w:rsidRPr="009556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2CC5D6F" w14:textId="62B5EDD7" w:rsidR="00B63298" w:rsidRPr="007F6C3E" w:rsidRDefault="002A5EB2" w:rsidP="00955647">
            <w:pPr>
              <w:pStyle w:val="Odstavekseznam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znali analizirati praktične probleme</w:t>
            </w:r>
            <w:r w:rsidR="00B63298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povezan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63298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55450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="00603194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prilagajanjem </w:t>
            </w:r>
            <w:r w:rsidR="00355450" w:rsidRPr="007F6C3E">
              <w:rPr>
                <w:rFonts w:asciiTheme="minorHAnsi" w:hAnsiTheme="minorHAnsi" w:cstheme="minorHAnsi"/>
                <w:sz w:val="20"/>
                <w:szCs w:val="20"/>
              </w:rPr>
              <w:t>na strateške spremembe</w:t>
            </w:r>
            <w:r w:rsidR="000941E6" w:rsidRPr="007F6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9711C" w14:textId="77777777" w:rsidR="00B63298" w:rsidRPr="007F6C3E" w:rsidRDefault="00B63298" w:rsidP="00955647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121E" w14:textId="77777777" w:rsidR="00B63298" w:rsidRPr="007F6C3E" w:rsidRDefault="00B63298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F6C3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Development of knowledge and understanding</w:t>
            </w:r>
          </w:p>
          <w:p w14:paraId="0BF4E5AA" w14:textId="77777777" w:rsidR="00B63298" w:rsidRPr="007F6C3E" w:rsidRDefault="00B63298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F6C3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Knowledge issues</w:t>
            </w:r>
          </w:p>
          <w:p w14:paraId="4D1B594A" w14:textId="77777777" w:rsidR="00B63298" w:rsidRPr="007F6C3E" w:rsidRDefault="00B63298" w:rsidP="009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By the end of the course participants should:</w:t>
            </w:r>
          </w:p>
          <w:p w14:paraId="2D3D3E01" w14:textId="77777777" w:rsidR="00B63298" w:rsidRPr="007F6C3E" w:rsidRDefault="00B63298" w:rsidP="00955647">
            <w:pPr>
              <w:pStyle w:val="Odstavekseznam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gain the general</w:t>
            </w:r>
            <w:r w:rsidR="000941E6"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specific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knowledge of </w:t>
            </w:r>
            <w:r w:rsidR="00F64D66"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business models and concepts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="000941E6"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implementation of </w:t>
            </w:r>
            <w:r w:rsidR="00F64D66"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business concepts in di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fferent organization</w:t>
            </w:r>
            <w:r w:rsidR="000941E6"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s, </w:t>
            </w:r>
            <w:r w:rsidR="00F64D66"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environments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</w:p>
          <w:p w14:paraId="21808934" w14:textId="77777777" w:rsidR="00B63298" w:rsidRPr="007F6C3E" w:rsidRDefault="002A5EB2" w:rsidP="00955647">
            <w:pPr>
              <w:pStyle w:val="Odstavekseznam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be able to identify </w:t>
            </w:r>
            <w:r w:rsidR="00F64D66"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innovative business models 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</w:t>
            </w:r>
            <w:r w:rsidR="00F64D66"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designing sustainable logistics company operations</w:t>
            </w:r>
            <w:r w:rsidR="00B63298"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</w:p>
          <w:p w14:paraId="5B1C4563" w14:textId="77777777" w:rsidR="00B63298" w:rsidRPr="007F6C3E" w:rsidRDefault="00B63298" w:rsidP="00955647">
            <w:pPr>
              <w:pStyle w:val="Odstavekseznam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develop the ability to </w:t>
            </w:r>
            <w:r w:rsidR="00F64D66"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understand organization from change management perspective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</w:p>
          <w:p w14:paraId="533787EB" w14:textId="77777777" w:rsidR="00955647" w:rsidRPr="00955647" w:rsidRDefault="002A5EB2" w:rsidP="00955647">
            <w:pPr>
              <w:pStyle w:val="Odstavekseznam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use eco-design tools in logistics</w:t>
            </w:r>
            <w:r w:rsidR="00B63298"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</w:p>
          <w:p w14:paraId="775102B9" w14:textId="26DEFA5D" w:rsidR="00B63298" w:rsidRPr="00955647" w:rsidRDefault="002A5EB2" w:rsidP="00955647">
            <w:pPr>
              <w:pStyle w:val="Odstavekseznam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5564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analyze and</w:t>
            </w:r>
            <w:r w:rsidR="00B63298" w:rsidRPr="0095564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discuss</w:t>
            </w:r>
            <w:r w:rsidR="00F64D66" w:rsidRPr="0095564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B63298" w:rsidRPr="0095564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practical problems</w:t>
            </w:r>
            <w:r w:rsidR="001B59BD" w:rsidRPr="0095564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F64D66" w:rsidRPr="0095564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related to strate</w:t>
            </w:r>
            <w:r w:rsidR="000941E6" w:rsidRPr="0095564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gic changes in logistics organiz</w:t>
            </w:r>
            <w:r w:rsidR="00F64D66" w:rsidRPr="0095564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ations</w:t>
            </w:r>
            <w:r w:rsidR="00B63298" w:rsidRPr="0095564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  <w:tr w:rsidR="00667ED1" w:rsidRPr="007F6C3E" w14:paraId="2D8363FD" w14:textId="77777777" w:rsidTr="00955647">
        <w:tc>
          <w:tcPr>
            <w:tcW w:w="47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F38D779" w14:textId="77777777" w:rsidR="00667ED1" w:rsidRPr="007F6C3E" w:rsidRDefault="00667ED1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AF4973" w14:textId="77777777" w:rsidR="00667ED1" w:rsidRPr="007F6C3E" w:rsidRDefault="00667ED1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59A18A6E" w14:textId="77777777" w:rsidR="00667ED1" w:rsidRPr="007F6C3E" w:rsidRDefault="00667ED1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5488D02" w14:textId="77777777" w:rsidR="00667ED1" w:rsidRPr="007F6C3E" w:rsidRDefault="00667ED1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B56408B" w14:textId="77777777" w:rsidR="00667ED1" w:rsidRPr="007F6C3E" w:rsidRDefault="00667ED1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6F704E3" w14:textId="77777777" w:rsidR="00667ED1" w:rsidRPr="007F6C3E" w:rsidRDefault="00667ED1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8A1F0F" w:rsidRPr="007F6C3E" w14:paraId="7BE4CA76" w14:textId="77777777" w:rsidTr="00955647">
        <w:trPr>
          <w:trHeight w:val="20"/>
        </w:trPr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D7D" w14:textId="1F8C0861" w:rsidR="00CE30CF" w:rsidRDefault="00CE30CF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Predmet vključuje različne metode poučevanja in učenja, kot so: predavanja, diskusijske skupine, predstavite del, video predstavitve in filmi, primeri iz prakse, predstavitve študentov in samostojni študij študentov.</w:t>
            </w:r>
          </w:p>
          <w:p w14:paraId="5A2A454E" w14:textId="77777777" w:rsidR="007F6C3E" w:rsidRPr="007F6C3E" w:rsidRDefault="007F6C3E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CF6051" w14:textId="77777777" w:rsidR="00CE30CF" w:rsidRPr="007F6C3E" w:rsidRDefault="00CE30CF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5AAEB6FA" w14:textId="77777777" w:rsidR="00CE30CF" w:rsidRPr="007F6C3E" w:rsidRDefault="00CE30CF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BAE6D75" w14:textId="77777777" w:rsidR="008A1F0F" w:rsidRPr="007F6C3E" w:rsidRDefault="00CE30CF" w:rsidP="008A6EE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Vaje: pri vajah študent utrdi teoretično znanje in spozna aplikativne možnosti. 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</w:rPr>
              <w:t xml:space="preserve">Praktične strokovne ekskurzije v podjetja. </w:t>
            </w:r>
            <w:r w:rsidRPr="007F6C3E">
              <w:rPr>
                <w:rFonts w:asciiTheme="minorHAnsi" w:hAnsiTheme="minorHAnsi" w:cstheme="minorHAnsi"/>
                <w:sz w:val="20"/>
                <w:szCs w:val="20"/>
              </w:rPr>
              <w:t>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A1D22" w14:textId="77777777" w:rsidR="008A1F0F" w:rsidRPr="007F6C3E" w:rsidRDefault="008A1F0F" w:rsidP="008A6EE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677" w14:textId="77777777" w:rsidR="00CE30CF" w:rsidRPr="007F6C3E" w:rsidRDefault="00CE30CF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This course uses a range of teaching methods including lectures, discussion groups, videos and films, case studies, student presentation and independent study.</w:t>
            </w:r>
          </w:p>
          <w:p w14:paraId="73952978" w14:textId="22B1B9E6" w:rsidR="00CE30CF" w:rsidRDefault="00CE30CF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17356A00" w14:textId="77777777" w:rsidR="007F6C3E" w:rsidRPr="007F6C3E" w:rsidRDefault="007F6C3E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3C64E36B" w14:textId="77777777" w:rsidR="00CE30CF" w:rsidRPr="007F6C3E" w:rsidRDefault="00CE30CF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Lectures: Students understand the theoretical frameworks of the course. Part of the lecture course is held in standard classroom while the rest is in the form of e-learning (e-lectures may be given via video-conferencing or with the help of specially designed e-material in a virtual electronic learning environment).</w:t>
            </w:r>
          </w:p>
          <w:p w14:paraId="05755F69" w14:textId="77777777" w:rsidR="00CE30CF" w:rsidRPr="007F6C3E" w:rsidRDefault="00CE30CF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02D9E2F7" w14:textId="77777777" w:rsidR="008A1F0F" w:rsidRPr="007F6C3E" w:rsidRDefault="00CE30CF" w:rsidP="008A6EEC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Tutorials: Students enhance their theoretical knowledge and are able to apply it.</w:t>
            </w:r>
            <w:r w:rsidR="007A1ED6"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Excursions to companies.</w:t>
            </w:r>
            <w:r w:rsidRPr="007F6C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8A1F0F" w:rsidRPr="007F6C3E" w14:paraId="024477A1" w14:textId="77777777" w:rsidTr="00955647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7FB92" w14:textId="77777777" w:rsidR="008A1F0F" w:rsidRPr="007F6C3E" w:rsidRDefault="008A1F0F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5BACD67" w14:textId="77777777" w:rsidR="008A1F0F" w:rsidRPr="007F6C3E" w:rsidRDefault="008A1F0F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A66DF8E" w14:textId="77777777" w:rsidR="008A1F0F" w:rsidRPr="007F6C3E" w:rsidRDefault="008A1F0F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B1D14" w14:textId="77777777" w:rsidR="008A1F0F" w:rsidRPr="007F6C3E" w:rsidRDefault="008A1F0F" w:rsidP="008A6EE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44B787F2" w14:textId="77777777" w:rsidR="008A1F0F" w:rsidRPr="007F6C3E" w:rsidRDefault="008A1F0F" w:rsidP="008A6EE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FE7162C" w14:textId="77777777" w:rsidR="008A1F0F" w:rsidRPr="007F6C3E" w:rsidRDefault="008A1F0F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A65DB" w14:textId="77777777" w:rsidR="008A1F0F" w:rsidRPr="007F6C3E" w:rsidRDefault="008A1F0F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4327487" w14:textId="77777777" w:rsidR="008A1F0F" w:rsidRPr="007F6C3E" w:rsidRDefault="008A1F0F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EAD1D28" w14:textId="77777777" w:rsidR="008A1F0F" w:rsidRPr="007F6C3E" w:rsidRDefault="008A1F0F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8A1F0F" w:rsidRPr="007F6C3E" w14:paraId="2E92F1B0" w14:textId="77777777" w:rsidTr="00955647">
        <w:trPr>
          <w:trHeight w:val="654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841" w14:textId="2A795A3E" w:rsidR="00DE6F1A" w:rsidRPr="00955647" w:rsidRDefault="00DE6F1A" w:rsidP="003342E4">
            <w:pPr>
              <w:pStyle w:val="Odstavekseznama"/>
              <w:numPr>
                <w:ilvl w:val="0"/>
                <w:numId w:val="37"/>
              </w:numPr>
              <w:ind w:right="11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55647">
              <w:rPr>
                <w:rFonts w:asciiTheme="minorHAnsi" w:eastAsia="Calibri" w:hAnsiTheme="minorHAnsi" w:cstheme="minorHAnsi"/>
                <w:sz w:val="20"/>
                <w:szCs w:val="20"/>
              </w:rPr>
              <w:t>Pisni izpit.</w:t>
            </w:r>
          </w:p>
          <w:p w14:paraId="22CF9BBB" w14:textId="19696100" w:rsidR="00DE6F1A" w:rsidRPr="00955647" w:rsidRDefault="00DE6F1A" w:rsidP="003342E4">
            <w:pPr>
              <w:pStyle w:val="Navadensplet"/>
              <w:numPr>
                <w:ilvl w:val="0"/>
                <w:numId w:val="37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5647">
              <w:rPr>
                <w:rFonts w:asciiTheme="minorHAnsi" w:hAnsiTheme="minorHAnsi" w:cstheme="minorHAnsi"/>
                <w:b w:val="0"/>
                <w:sz w:val="20"/>
                <w:szCs w:val="20"/>
              </w:rPr>
              <w:t>Sprotne naloge</w:t>
            </w:r>
            <w:r w:rsidR="00E4763C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  <w:r w:rsidRPr="00955647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14:paraId="38D2799A" w14:textId="105C8E15" w:rsidR="008A1F0F" w:rsidRPr="00955647" w:rsidRDefault="00DE6F1A" w:rsidP="003342E4">
            <w:pPr>
              <w:pStyle w:val="Navadensple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55647">
              <w:rPr>
                <w:rFonts w:asciiTheme="minorHAnsi" w:eastAsia="Calibri" w:hAnsiTheme="minorHAnsi" w:cstheme="minorHAnsi"/>
                <w:b w:val="0"/>
                <w:sz w:val="20"/>
                <w:szCs w:val="20"/>
              </w:rPr>
              <w:t>Seminarska nalog</w:t>
            </w:r>
            <w:r w:rsidR="00E4763C">
              <w:rPr>
                <w:rFonts w:asciiTheme="minorHAnsi" w:eastAsia="Calibri" w:hAnsiTheme="minorHAnsi" w:cstheme="minorHAnsi"/>
                <w:b w:val="0"/>
                <w:sz w:val="20"/>
                <w:szCs w:val="20"/>
              </w:rPr>
              <w:t>a.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4FF" w14:textId="3336CA5B" w:rsidR="00DE6F1A" w:rsidRPr="00955647" w:rsidRDefault="00DE6F1A" w:rsidP="003342E4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5564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65%</w:t>
            </w:r>
          </w:p>
          <w:p w14:paraId="31DAE64C" w14:textId="77777777" w:rsidR="00DE6F1A" w:rsidRPr="00955647" w:rsidRDefault="00DE6F1A" w:rsidP="003342E4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5564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15%</w:t>
            </w:r>
          </w:p>
          <w:p w14:paraId="3A69548A" w14:textId="125A0B93" w:rsidR="00CE30CF" w:rsidRPr="00955647" w:rsidRDefault="00DE6F1A" w:rsidP="003342E4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5564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20%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F487" w14:textId="49C36E35" w:rsidR="00DE6F1A" w:rsidRPr="00955647" w:rsidRDefault="003342E4" w:rsidP="003342E4">
            <w:pPr>
              <w:pStyle w:val="Odstavekseznama"/>
              <w:numPr>
                <w:ilvl w:val="0"/>
                <w:numId w:val="27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5564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W</w:t>
            </w:r>
            <w:r w:rsidR="00DE6F1A" w:rsidRPr="0095564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ritten exam</w:t>
            </w:r>
            <w:r w:rsidR="00E4763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313AD01C" w14:textId="2A483502" w:rsidR="00DE6F1A" w:rsidRPr="00955647" w:rsidRDefault="00603902" w:rsidP="003342E4">
            <w:pPr>
              <w:pStyle w:val="Odstavekseznama"/>
              <w:numPr>
                <w:ilvl w:val="0"/>
                <w:numId w:val="27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5564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Coursework.</w:t>
            </w:r>
          </w:p>
          <w:p w14:paraId="35CDADD7" w14:textId="6967B208" w:rsidR="008A1F0F" w:rsidRPr="00955647" w:rsidRDefault="00DE6F1A" w:rsidP="003342E4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5564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Seminar paper</w:t>
            </w:r>
            <w:r w:rsidR="00E4763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</w:tr>
    </w:tbl>
    <w:p w14:paraId="564ECBF2" w14:textId="77777777" w:rsidR="005A11E4" w:rsidRPr="007F6C3E" w:rsidRDefault="005A11E4" w:rsidP="008A6EEC">
      <w:pPr>
        <w:spacing w:after="0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7F6C3E" w14:paraId="2CE31494" w14:textId="77777777" w:rsidTr="00BE704D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27F2E90B" w14:textId="77777777" w:rsidR="005A11E4" w:rsidRPr="007F6C3E" w:rsidRDefault="005A11E4" w:rsidP="008A6EE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F6C3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2A3471" w:rsidRPr="002A3471" w14:paraId="60CD0984" w14:textId="77777777" w:rsidTr="00603194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27C8" w14:textId="2275AC95" w:rsidR="009D5986" w:rsidRDefault="009D5986" w:rsidP="004D163B">
            <w:pPr>
              <w:pStyle w:val="Navadensplet"/>
              <w:numPr>
                <w:ilvl w:val="0"/>
                <w:numId w:val="30"/>
              </w:numPr>
              <w:ind w:left="357" w:hanging="357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A3471">
              <w:rPr>
                <w:rFonts w:asciiTheme="minorHAnsi" w:hAnsiTheme="minorHAnsi" w:cstheme="minorHAnsi"/>
                <w:b w:val="0"/>
                <w:sz w:val="20"/>
                <w:szCs w:val="20"/>
              </w:rPr>
              <w:t>Omahne V</w:t>
            </w:r>
            <w:r w:rsidR="00A20104" w:rsidRPr="002A3471">
              <w:rPr>
                <w:rFonts w:asciiTheme="minorHAnsi" w:hAnsiTheme="minorHAnsi" w:cstheme="minorHAnsi"/>
                <w:b w:val="0"/>
                <w:sz w:val="20"/>
                <w:szCs w:val="20"/>
              </w:rPr>
              <w:t>asja</w:t>
            </w:r>
            <w:r w:rsidRPr="002A3471">
              <w:rPr>
                <w:rFonts w:asciiTheme="minorHAnsi" w:hAnsiTheme="minorHAnsi" w:cstheme="minorHAnsi"/>
                <w:b w:val="0"/>
                <w:sz w:val="20"/>
                <w:szCs w:val="20"/>
              </w:rPr>
              <w:t>, Knez</w:t>
            </w:r>
            <w:r w:rsidR="00A20104" w:rsidRPr="002A3471">
              <w:rPr>
                <w:rFonts w:asciiTheme="minorHAnsi" w:hAnsiTheme="minorHAnsi" w:cstheme="minorHAnsi"/>
                <w:b w:val="0"/>
                <w:sz w:val="20"/>
                <w:szCs w:val="20"/>
              </w:rPr>
              <w:t>,</w:t>
            </w:r>
            <w:r w:rsidRPr="002A3471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</w:t>
            </w:r>
            <w:r w:rsidR="00A20104" w:rsidRPr="002A3471">
              <w:rPr>
                <w:rFonts w:asciiTheme="minorHAnsi" w:hAnsiTheme="minorHAnsi" w:cstheme="minorHAnsi"/>
                <w:b w:val="0"/>
                <w:sz w:val="20"/>
                <w:szCs w:val="20"/>
              </w:rPr>
              <w:t>atjaz</w:t>
            </w:r>
            <w:r w:rsidRPr="002A3471">
              <w:rPr>
                <w:rFonts w:asciiTheme="minorHAnsi" w:hAnsiTheme="minorHAnsi" w:cstheme="minorHAnsi"/>
                <w:b w:val="0"/>
                <w:sz w:val="20"/>
                <w:szCs w:val="20"/>
              </w:rPr>
              <w:t>, Obrecht</w:t>
            </w:r>
            <w:r w:rsidR="00A20104" w:rsidRPr="002A3471">
              <w:rPr>
                <w:rFonts w:asciiTheme="minorHAnsi" w:hAnsiTheme="minorHAnsi" w:cstheme="minorHAnsi"/>
                <w:b w:val="0"/>
                <w:sz w:val="20"/>
                <w:szCs w:val="20"/>
              </w:rPr>
              <w:t>,</w:t>
            </w:r>
            <w:r w:rsidRPr="002A3471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</w:t>
            </w:r>
            <w:r w:rsidR="00A20104" w:rsidRPr="002A3471">
              <w:rPr>
                <w:rFonts w:asciiTheme="minorHAnsi" w:hAnsiTheme="minorHAnsi" w:cstheme="minorHAnsi"/>
                <w:b w:val="0"/>
                <w:sz w:val="20"/>
                <w:szCs w:val="20"/>
              </w:rPr>
              <w:t>atevž</w:t>
            </w:r>
            <w:r w:rsidRPr="002A3471">
              <w:rPr>
                <w:rFonts w:asciiTheme="minorHAnsi" w:hAnsiTheme="minorHAnsi" w:cstheme="minorHAnsi"/>
                <w:b w:val="0"/>
                <w:sz w:val="20"/>
                <w:szCs w:val="20"/>
              </w:rPr>
              <w:t>. Social Aspects of Electric Vehicles Research—Trends and Relations to Sustainable Development Goals. </w:t>
            </w:r>
            <w:r w:rsidRPr="002A3471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World Electric Vehicle Journal</w:t>
            </w:r>
            <w:r w:rsidRPr="002A3471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2021; 12(1):15. </w:t>
            </w:r>
            <w:hyperlink r:id="rId7" w:history="1">
              <w:r w:rsidR="00A20104" w:rsidRPr="002A3471">
                <w:rPr>
                  <w:rFonts w:asciiTheme="minorHAnsi" w:hAnsiTheme="minorHAnsi" w:cstheme="minorHAnsi"/>
                  <w:b w:val="0"/>
                  <w:sz w:val="20"/>
                  <w:szCs w:val="20"/>
                </w:rPr>
                <w:t>https://doi.org/10.3390/wevj12010015</w:t>
              </w:r>
            </w:hyperlink>
            <w:r w:rsidR="00A20104" w:rsidRPr="002A3471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uvrstitev: Scopus (d)</w:t>
            </w:r>
            <w:r w:rsidR="00147A0E" w:rsidRPr="002A3471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14:paraId="176A978A" w14:textId="7BC68DF1" w:rsidR="00854F6F" w:rsidRDefault="00854F6F" w:rsidP="004D163B">
            <w:pPr>
              <w:pStyle w:val="Navadensplet"/>
              <w:numPr>
                <w:ilvl w:val="0"/>
                <w:numId w:val="30"/>
              </w:numPr>
              <w:ind w:left="357" w:hanging="357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4F6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OBRECHT, Matevž, YANGINLAR, Gözde, KLIMECKA-TATAR, Dorota, KNEZ, Matjaž. Sustainable transportation perspective: how our preferences for zero-emission vehicles change through time?. Production Engineering Archives. Jun. 2024, vol. 30, issue 2, str. 214-224, ilustr. ISSN 2353-5156. </w:t>
            </w:r>
            <w:hyperlink r:id="rId8" w:tgtFrame="_blank" w:history="1">
              <w:r w:rsidRPr="00854F6F">
                <w:rPr>
                  <w:rFonts w:asciiTheme="minorHAnsi" w:hAnsiTheme="minorHAnsi" w:cstheme="minorHAnsi"/>
                  <w:b w:val="0"/>
                  <w:sz w:val="20"/>
                  <w:szCs w:val="20"/>
                </w:rPr>
                <w:t>https://sciendo.com/article/10.30657/pea.2024.30.20</w:t>
              </w:r>
            </w:hyperlink>
            <w:r w:rsidRPr="00854F6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</w:t>
            </w:r>
            <w:hyperlink r:id="rId9" w:tgtFrame="_blank" w:history="1">
              <w:r w:rsidRPr="00854F6F">
                <w:rPr>
                  <w:rFonts w:asciiTheme="minorHAnsi" w:hAnsiTheme="minorHAnsi" w:cstheme="minorHAnsi"/>
                  <w:b w:val="0"/>
                  <w:sz w:val="20"/>
                  <w:szCs w:val="20"/>
                </w:rPr>
                <w:t>Digitalna knjižnica Univerze v Mariboru – DKUM</w:t>
              </w:r>
            </w:hyperlink>
            <w:r w:rsidRPr="00854F6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DOI: </w:t>
            </w:r>
            <w:hyperlink r:id="rId10" w:tgtFrame="_blank" w:history="1">
              <w:r w:rsidRPr="00854F6F">
                <w:rPr>
                  <w:rFonts w:asciiTheme="minorHAnsi" w:hAnsiTheme="minorHAnsi" w:cstheme="minorHAnsi"/>
                  <w:b w:val="0"/>
                  <w:sz w:val="20"/>
                  <w:szCs w:val="20"/>
                </w:rPr>
                <w:t>10.30657/pea.2024.30.20</w:t>
              </w:r>
            </w:hyperlink>
            <w:r w:rsidRPr="00854F6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[COBISS.SI-ID </w:t>
            </w:r>
            <w:hyperlink r:id="rId11" w:tgtFrame="_blank" w:history="1">
              <w:r w:rsidRPr="00854F6F">
                <w:rPr>
                  <w:rFonts w:asciiTheme="minorHAnsi" w:hAnsiTheme="minorHAnsi" w:cstheme="minorHAnsi"/>
                  <w:b w:val="0"/>
                  <w:sz w:val="20"/>
                  <w:szCs w:val="20"/>
                </w:rPr>
                <w:t>202588675</w:t>
              </w:r>
            </w:hyperlink>
            <w:r w:rsidRPr="00854F6F">
              <w:rPr>
                <w:rFonts w:asciiTheme="minorHAnsi" w:hAnsiTheme="minorHAnsi" w:cstheme="minorHAnsi"/>
                <w:b w:val="0"/>
                <w:sz w:val="20"/>
                <w:szCs w:val="20"/>
              </w:rPr>
              <w:t>].</w:t>
            </w:r>
          </w:p>
          <w:p w14:paraId="0B404C31" w14:textId="7A96D67B" w:rsidR="00854F6F" w:rsidRPr="002A3471" w:rsidRDefault="00854F6F" w:rsidP="004D163B">
            <w:pPr>
              <w:pStyle w:val="Navadensplet"/>
              <w:numPr>
                <w:ilvl w:val="0"/>
                <w:numId w:val="30"/>
              </w:numPr>
              <w:ind w:left="357" w:hanging="357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4F6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KRAMAR, Uroš, KNEZ, Matjaž. Gamified learning for sustainability : an innovative approach to enhance hydrogen literacy and environmental awareness through simulation-based education. Sustainability. 2025, 17, 6, [article no.] </w:t>
            </w:r>
            <w:r w:rsidRPr="00854F6F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 xml:space="preserve">2694, 25 str., graf. prikazi. ISSN 2071-1050. </w:t>
            </w:r>
            <w:hyperlink r:id="rId12" w:tgtFrame="_blank" w:history="1">
              <w:r w:rsidRPr="00854F6F">
                <w:rPr>
                  <w:rFonts w:asciiTheme="minorHAnsi" w:hAnsiTheme="minorHAnsi" w:cstheme="minorHAnsi"/>
                  <w:b w:val="0"/>
                  <w:sz w:val="20"/>
                  <w:szCs w:val="20"/>
                </w:rPr>
                <w:t>https://www.mdpi.com/2071-1050/17/6/2694</w:t>
              </w:r>
            </w:hyperlink>
            <w:r w:rsidRPr="00854F6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</w:t>
            </w:r>
            <w:hyperlink r:id="rId13" w:tgtFrame="_blank" w:history="1">
              <w:r w:rsidRPr="00854F6F">
                <w:rPr>
                  <w:rFonts w:asciiTheme="minorHAnsi" w:hAnsiTheme="minorHAnsi" w:cstheme="minorHAnsi"/>
                  <w:b w:val="0"/>
                  <w:sz w:val="20"/>
                  <w:szCs w:val="20"/>
                </w:rPr>
                <w:t>Digitalna knjižnica Univerze v Mariboru – DKUM</w:t>
              </w:r>
            </w:hyperlink>
            <w:r w:rsidRPr="00854F6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DOI: </w:t>
            </w:r>
            <w:hyperlink r:id="rId14" w:tgtFrame="_blank" w:history="1">
              <w:r w:rsidRPr="00854F6F">
                <w:rPr>
                  <w:rFonts w:asciiTheme="minorHAnsi" w:hAnsiTheme="minorHAnsi" w:cstheme="minorHAnsi"/>
                  <w:b w:val="0"/>
                  <w:sz w:val="20"/>
                  <w:szCs w:val="20"/>
                </w:rPr>
                <w:t>10.3390/su17062694</w:t>
              </w:r>
            </w:hyperlink>
            <w:r w:rsidRPr="00854F6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[COBISS.SI-ID </w:t>
            </w:r>
            <w:hyperlink r:id="rId15" w:tgtFrame="_blank" w:history="1">
              <w:r w:rsidRPr="00854F6F">
                <w:rPr>
                  <w:rFonts w:asciiTheme="minorHAnsi" w:hAnsiTheme="minorHAnsi" w:cstheme="minorHAnsi"/>
                  <w:b w:val="0"/>
                  <w:sz w:val="20"/>
                  <w:szCs w:val="20"/>
                </w:rPr>
                <w:t>233133315</w:t>
              </w:r>
            </w:hyperlink>
            <w:r w:rsidRPr="00854F6F">
              <w:rPr>
                <w:rFonts w:asciiTheme="minorHAnsi" w:hAnsiTheme="minorHAnsi" w:cstheme="minorHAnsi"/>
                <w:b w:val="0"/>
                <w:sz w:val="20"/>
                <w:szCs w:val="20"/>
              </w:rPr>
              <w:t>].</w:t>
            </w:r>
          </w:p>
          <w:p w14:paraId="5806904A" w14:textId="0EE251FD" w:rsidR="004D163B" w:rsidRPr="002A3471" w:rsidRDefault="004D163B" w:rsidP="004D163B">
            <w:pPr>
              <w:pStyle w:val="Odstavekseznama"/>
              <w:numPr>
                <w:ilvl w:val="0"/>
                <w:numId w:val="30"/>
              </w:num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A3471">
              <w:rPr>
                <w:rFonts w:asciiTheme="minorHAnsi" w:hAnsiTheme="minorHAnsi" w:cstheme="minorHAnsi"/>
                <w:sz w:val="20"/>
                <w:szCs w:val="20"/>
              </w:rPr>
              <w:t>CHAUHAN, Rajat, SANTRAN, Ram, OBRECHT, Matevž, SINGH, Rhythm. Energy storage potential of used electric vehicle batteries for supporting renewable energy generation in India. Energy for sustainable development. [Online ed.]. Aug. 2024, vol. 81, 14 str., ilustr. ISSN 2352-4669. DOI: 10.1016/j.esd.2024.101513. [COBISS.SI-ID 204043011]</w:t>
            </w:r>
            <w:r w:rsidR="00EB277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A34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901D31F" w14:textId="223CD008" w:rsidR="004D163B" w:rsidRPr="002A3471" w:rsidRDefault="004D163B" w:rsidP="004D163B">
            <w:pPr>
              <w:pStyle w:val="Odstavekseznama"/>
              <w:numPr>
                <w:ilvl w:val="0"/>
                <w:numId w:val="30"/>
              </w:num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A3471">
              <w:rPr>
                <w:rFonts w:asciiTheme="minorHAnsi" w:hAnsiTheme="minorHAnsi" w:cstheme="minorHAnsi"/>
                <w:sz w:val="20"/>
                <w:szCs w:val="20"/>
              </w:rPr>
              <w:t>OBRECHT, Matevž, CVAHTE OJSTERŠEK, Tina, PAVIĆ, Lazar. Sustainable synergy: unveiling the symbiotic relationship between personal lifestyles and corporate sustainable business practices. Energy reports. Dec. 2024, vol. 12, str. 6093–6101, ilustr. ISSN 2352-4847. </w:t>
            </w:r>
            <w:hyperlink r:id="rId16" w:tgtFrame="_blank" w:tooltip="https://www.sciencedirect.com/science/article/pii/S2352484724008060?via%3Dihub" w:history="1">
              <w:r w:rsidRPr="002A3471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bdr w:val="none" w:sz="0" w:space="0" w:color="auto" w:frame="1"/>
                </w:rPr>
                <w:t>https://www.sciencedirect.com/science/article/pii/S2352484724008060?via%3Dihub</w:t>
              </w:r>
            </w:hyperlink>
            <w:r w:rsidRPr="002A3471">
              <w:rPr>
                <w:rFonts w:asciiTheme="minorHAnsi" w:hAnsiTheme="minorHAnsi" w:cstheme="minorHAnsi"/>
                <w:sz w:val="20"/>
                <w:szCs w:val="20"/>
              </w:rPr>
              <w:t>, DOI: 10.1016/j.egyr.2024.11.090. [COBISS.SI-ID 217861891]</w:t>
            </w:r>
            <w:r w:rsidR="00EB277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892C5CF" w14:textId="1205848C" w:rsidR="004D163B" w:rsidRPr="002A3471" w:rsidRDefault="004D163B" w:rsidP="004D163B">
            <w:pPr>
              <w:pStyle w:val="Odstavekseznama"/>
              <w:numPr>
                <w:ilvl w:val="0"/>
                <w:numId w:val="30"/>
              </w:num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A3471">
              <w:rPr>
                <w:rFonts w:asciiTheme="minorHAnsi" w:hAnsiTheme="minorHAnsi" w:cstheme="minorHAnsi"/>
                <w:sz w:val="20"/>
                <w:szCs w:val="20"/>
              </w:rPr>
              <w:t>KLIMECKA-TATAR, Dorota, OBRECHT, Matevž. Development and improvement of a production company (and their product) based on the value stream mapping of business processes. Management systems in production engineering. [Spletna izd.]. Jun. 2024, vol. 32, issue 2, str. 185-191, ilustr. ISSN 2450-5781. </w:t>
            </w:r>
            <w:hyperlink r:id="rId17" w:tgtFrame="_blank" w:tooltip="https://sciendo.com/article/10.2478/mspe-2024-0018" w:history="1">
              <w:r w:rsidRPr="002A3471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bdr w:val="none" w:sz="0" w:space="0" w:color="auto" w:frame="1"/>
                </w:rPr>
                <w:t>https://sciendo.com/article/10.2478/mspe-2024-0018</w:t>
              </w:r>
            </w:hyperlink>
            <w:r w:rsidRPr="002A3471">
              <w:rPr>
                <w:rFonts w:asciiTheme="minorHAnsi" w:hAnsiTheme="minorHAnsi" w:cstheme="minorHAnsi"/>
                <w:sz w:val="20"/>
                <w:szCs w:val="20"/>
              </w:rPr>
              <w:t>, DOI: 10.2478/mspe-2024-0018. [COBISS.SI-ID 202615811]</w:t>
            </w:r>
            <w:r w:rsidR="00EB277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B7A604C" w14:textId="78BAA6D4" w:rsidR="004D163B" w:rsidRPr="002A3471" w:rsidRDefault="004D163B" w:rsidP="004D163B">
            <w:pPr>
              <w:pStyle w:val="Odstavekseznama"/>
              <w:numPr>
                <w:ilvl w:val="0"/>
                <w:numId w:val="30"/>
              </w:num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AF0"/>
              </w:rPr>
            </w:pPr>
            <w:r w:rsidRPr="002A3471">
              <w:rPr>
                <w:rFonts w:asciiTheme="minorHAnsi" w:hAnsiTheme="minorHAnsi" w:cstheme="minorHAnsi"/>
                <w:sz w:val="20"/>
                <w:szCs w:val="20"/>
              </w:rPr>
              <w:t>YANGINLAR, Gözde, CIVELEK, Mustafa Emre, BAHÇECI, Ihsan, OBRECHT, Matevž. The mediating role of logistics 4.0 capability on the relationship between e-commerce marketing and firm performance. Polish journal of management studies. 2024, vol. 29, no. 2, str. 433-452, ilustr. ISSN 2081-7452. DOI: 10.17512/pjms.2024.29.2.23. [COBISS.SI-ID 204012035]</w:t>
            </w:r>
            <w:r w:rsidR="00EB277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4F2F8DA" w14:textId="77777777" w:rsidR="005A11E4" w:rsidRPr="007F6C3E" w:rsidRDefault="005A11E4" w:rsidP="008A6EEC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68418C40" w14:textId="77777777" w:rsidR="00F57C69" w:rsidRPr="007F6C3E" w:rsidRDefault="00F57C69" w:rsidP="008A6EEC">
      <w:pPr>
        <w:pStyle w:val="Pripomba"/>
        <w:spacing w:after="0"/>
        <w:rPr>
          <w:rFonts w:cstheme="minorHAnsi"/>
          <w:color w:val="C00000"/>
          <w:sz w:val="20"/>
          <w:szCs w:val="20"/>
        </w:rPr>
      </w:pPr>
    </w:p>
    <w:sectPr w:rsidR="00F57C69" w:rsidRPr="007F6C3E" w:rsidSect="00276596">
      <w:footerReference w:type="default" r:id="rId1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A4FA" w14:textId="77777777" w:rsidR="001A059A" w:rsidRDefault="001A059A" w:rsidP="00703ADE">
      <w:pPr>
        <w:spacing w:after="0"/>
      </w:pPr>
      <w:r>
        <w:separator/>
      </w:r>
    </w:p>
  </w:endnote>
  <w:endnote w:type="continuationSeparator" w:id="0">
    <w:p w14:paraId="6428D194" w14:textId="77777777" w:rsidR="001A059A" w:rsidRDefault="001A059A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6FA8" w14:textId="77777777" w:rsidR="00603194" w:rsidRPr="007564BD" w:rsidRDefault="00603194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357DF7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57DF7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16DD" w14:textId="77777777" w:rsidR="001A059A" w:rsidRDefault="001A059A" w:rsidP="00703ADE">
      <w:pPr>
        <w:spacing w:after="0"/>
      </w:pPr>
      <w:r>
        <w:separator/>
      </w:r>
    </w:p>
  </w:footnote>
  <w:footnote w:type="continuationSeparator" w:id="0">
    <w:p w14:paraId="70B4A62D" w14:textId="77777777" w:rsidR="001A059A" w:rsidRDefault="001A059A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4A5"/>
    <w:multiLevelType w:val="hybridMultilevel"/>
    <w:tmpl w:val="9C1EAD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04619"/>
    <w:multiLevelType w:val="hybridMultilevel"/>
    <w:tmpl w:val="E766BEB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15C1B"/>
    <w:multiLevelType w:val="hybridMultilevel"/>
    <w:tmpl w:val="9C6C4204"/>
    <w:lvl w:ilvl="0" w:tplc="0424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7347928"/>
    <w:multiLevelType w:val="hybridMultilevel"/>
    <w:tmpl w:val="B2E23B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35CA7"/>
    <w:multiLevelType w:val="hybridMultilevel"/>
    <w:tmpl w:val="1CBE1A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6C7A82"/>
    <w:multiLevelType w:val="hybridMultilevel"/>
    <w:tmpl w:val="499C58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D1EC7"/>
    <w:multiLevelType w:val="hybridMultilevel"/>
    <w:tmpl w:val="4560CF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F628FE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B40BE9"/>
    <w:multiLevelType w:val="hybridMultilevel"/>
    <w:tmpl w:val="72FEE6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37471F"/>
    <w:multiLevelType w:val="hybridMultilevel"/>
    <w:tmpl w:val="7B2A76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E1963"/>
    <w:multiLevelType w:val="hybridMultilevel"/>
    <w:tmpl w:val="4156DD7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1F77EF"/>
    <w:multiLevelType w:val="hybridMultilevel"/>
    <w:tmpl w:val="840080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2B39CC"/>
    <w:multiLevelType w:val="hybridMultilevel"/>
    <w:tmpl w:val="286059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DB5160"/>
    <w:multiLevelType w:val="hybridMultilevel"/>
    <w:tmpl w:val="4C34B5B0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26414295"/>
    <w:multiLevelType w:val="hybridMultilevel"/>
    <w:tmpl w:val="318EA49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775D32"/>
    <w:multiLevelType w:val="hybridMultilevel"/>
    <w:tmpl w:val="0CACA1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F9783D"/>
    <w:multiLevelType w:val="hybridMultilevel"/>
    <w:tmpl w:val="FCAC1AE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125267"/>
    <w:multiLevelType w:val="hybridMultilevel"/>
    <w:tmpl w:val="97F6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F79A9"/>
    <w:multiLevelType w:val="hybridMultilevel"/>
    <w:tmpl w:val="6DBE8A4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54778F"/>
    <w:multiLevelType w:val="hybridMultilevel"/>
    <w:tmpl w:val="947AA1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6B7ACD"/>
    <w:multiLevelType w:val="hybridMultilevel"/>
    <w:tmpl w:val="8690C6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8784F"/>
    <w:multiLevelType w:val="hybridMultilevel"/>
    <w:tmpl w:val="FD28A56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A93BC7"/>
    <w:multiLevelType w:val="hybridMultilevel"/>
    <w:tmpl w:val="D130B8C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391668"/>
    <w:multiLevelType w:val="hybridMultilevel"/>
    <w:tmpl w:val="DF1E26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11B36"/>
    <w:multiLevelType w:val="hybridMultilevel"/>
    <w:tmpl w:val="37203B7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B620F"/>
    <w:multiLevelType w:val="multilevel"/>
    <w:tmpl w:val="2688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8E00BF"/>
    <w:multiLevelType w:val="hybridMultilevel"/>
    <w:tmpl w:val="9D7C459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4A0AF2"/>
    <w:multiLevelType w:val="hybridMultilevel"/>
    <w:tmpl w:val="0EFAEA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334A14"/>
    <w:multiLevelType w:val="hybridMultilevel"/>
    <w:tmpl w:val="5BD2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50E99"/>
    <w:multiLevelType w:val="hybridMultilevel"/>
    <w:tmpl w:val="4E02F3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7535C9"/>
    <w:multiLevelType w:val="hybridMultilevel"/>
    <w:tmpl w:val="28906A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7E0EA3"/>
    <w:multiLevelType w:val="hybridMultilevel"/>
    <w:tmpl w:val="16922CE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3" w15:restartNumberingAfterBreak="0">
    <w:nsid w:val="69E07CC2"/>
    <w:multiLevelType w:val="hybridMultilevel"/>
    <w:tmpl w:val="CEFC2BF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24D35"/>
    <w:multiLevelType w:val="hybridMultilevel"/>
    <w:tmpl w:val="13C01E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025D7"/>
    <w:multiLevelType w:val="hybridMultilevel"/>
    <w:tmpl w:val="DB8E9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986B2B"/>
    <w:multiLevelType w:val="hybridMultilevel"/>
    <w:tmpl w:val="290289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B73B02"/>
    <w:multiLevelType w:val="hybridMultilevel"/>
    <w:tmpl w:val="D3C267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77F0D"/>
    <w:multiLevelType w:val="hybridMultilevel"/>
    <w:tmpl w:val="08D41A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713FBB"/>
    <w:multiLevelType w:val="hybridMultilevel"/>
    <w:tmpl w:val="5D7488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06321"/>
    <w:multiLevelType w:val="hybridMultilevel"/>
    <w:tmpl w:val="6C322B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8"/>
  </w:num>
  <w:num w:numId="5">
    <w:abstractNumId w:val="31"/>
  </w:num>
  <w:num w:numId="6">
    <w:abstractNumId w:val="18"/>
  </w:num>
  <w:num w:numId="7">
    <w:abstractNumId w:val="7"/>
  </w:num>
  <w:num w:numId="8">
    <w:abstractNumId w:val="24"/>
  </w:num>
  <w:num w:numId="9">
    <w:abstractNumId w:val="27"/>
  </w:num>
  <w:num w:numId="10">
    <w:abstractNumId w:val="30"/>
  </w:num>
  <w:num w:numId="11">
    <w:abstractNumId w:val="6"/>
  </w:num>
  <w:num w:numId="12">
    <w:abstractNumId w:val="33"/>
  </w:num>
  <w:num w:numId="13">
    <w:abstractNumId w:val="40"/>
  </w:num>
  <w:num w:numId="14">
    <w:abstractNumId w:val="26"/>
  </w:num>
  <w:num w:numId="15">
    <w:abstractNumId w:val="15"/>
  </w:num>
  <w:num w:numId="16">
    <w:abstractNumId w:val="0"/>
  </w:num>
  <w:num w:numId="17">
    <w:abstractNumId w:val="3"/>
  </w:num>
  <w:num w:numId="18">
    <w:abstractNumId w:val="19"/>
  </w:num>
  <w:num w:numId="19">
    <w:abstractNumId w:val="4"/>
  </w:num>
  <w:num w:numId="20">
    <w:abstractNumId w:val="9"/>
  </w:num>
  <w:num w:numId="21">
    <w:abstractNumId w:val="11"/>
  </w:num>
  <w:num w:numId="22">
    <w:abstractNumId w:val="39"/>
  </w:num>
  <w:num w:numId="23">
    <w:abstractNumId w:val="29"/>
  </w:num>
  <w:num w:numId="24">
    <w:abstractNumId w:val="20"/>
  </w:num>
  <w:num w:numId="25">
    <w:abstractNumId w:val="37"/>
  </w:num>
  <w:num w:numId="26">
    <w:abstractNumId w:val="2"/>
  </w:num>
  <w:num w:numId="27">
    <w:abstractNumId w:val="22"/>
  </w:num>
  <w:num w:numId="28">
    <w:abstractNumId w:val="5"/>
  </w:num>
  <w:num w:numId="29">
    <w:abstractNumId w:val="23"/>
  </w:num>
  <w:num w:numId="30">
    <w:abstractNumId w:val="10"/>
  </w:num>
  <w:num w:numId="31">
    <w:abstractNumId w:val="36"/>
  </w:num>
  <w:num w:numId="32">
    <w:abstractNumId w:val="17"/>
  </w:num>
  <w:num w:numId="33">
    <w:abstractNumId w:val="28"/>
  </w:num>
  <w:num w:numId="34">
    <w:abstractNumId w:val="35"/>
  </w:num>
  <w:num w:numId="35">
    <w:abstractNumId w:val="13"/>
  </w:num>
  <w:num w:numId="36">
    <w:abstractNumId w:val="25"/>
  </w:num>
  <w:num w:numId="37">
    <w:abstractNumId w:val="38"/>
  </w:num>
  <w:num w:numId="38">
    <w:abstractNumId w:val="32"/>
  </w:num>
  <w:num w:numId="39">
    <w:abstractNumId w:val="1"/>
  </w:num>
  <w:num w:numId="40">
    <w:abstractNumId w:val="21"/>
  </w:num>
  <w:num w:numId="41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2tDQ3MTA2NjcxNTRS0lEKTi0uzszPAykwNKoFALuuZ0ctAAAA"/>
  </w:docVars>
  <w:rsids>
    <w:rsidRoot w:val="00703ADE"/>
    <w:rsid w:val="0002009C"/>
    <w:rsid w:val="00043862"/>
    <w:rsid w:val="00046B40"/>
    <w:rsid w:val="00053C25"/>
    <w:rsid w:val="000625CC"/>
    <w:rsid w:val="00067866"/>
    <w:rsid w:val="000761B7"/>
    <w:rsid w:val="0009073D"/>
    <w:rsid w:val="000941E6"/>
    <w:rsid w:val="0009636B"/>
    <w:rsid w:val="000A19DD"/>
    <w:rsid w:val="000B0A40"/>
    <w:rsid w:val="000B587A"/>
    <w:rsid w:val="000B67E3"/>
    <w:rsid w:val="000B6A23"/>
    <w:rsid w:val="000C60CF"/>
    <w:rsid w:val="000E7D4E"/>
    <w:rsid w:val="000F1B74"/>
    <w:rsid w:val="000F40D2"/>
    <w:rsid w:val="000F6746"/>
    <w:rsid w:val="00103E49"/>
    <w:rsid w:val="0010411B"/>
    <w:rsid w:val="001101ED"/>
    <w:rsid w:val="001213B9"/>
    <w:rsid w:val="00132A95"/>
    <w:rsid w:val="00135DE0"/>
    <w:rsid w:val="00147A0E"/>
    <w:rsid w:val="00157001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A059A"/>
    <w:rsid w:val="001B40D3"/>
    <w:rsid w:val="001B4E07"/>
    <w:rsid w:val="001B59BD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675F4"/>
    <w:rsid w:val="00273DDF"/>
    <w:rsid w:val="00276596"/>
    <w:rsid w:val="0027778B"/>
    <w:rsid w:val="002805E7"/>
    <w:rsid w:val="0028075A"/>
    <w:rsid w:val="00292898"/>
    <w:rsid w:val="002A3471"/>
    <w:rsid w:val="002A5EB2"/>
    <w:rsid w:val="002B19A5"/>
    <w:rsid w:val="002B452B"/>
    <w:rsid w:val="002B5B44"/>
    <w:rsid w:val="002B668D"/>
    <w:rsid w:val="002C2E5E"/>
    <w:rsid w:val="002C44F3"/>
    <w:rsid w:val="002C7D0D"/>
    <w:rsid w:val="002F418C"/>
    <w:rsid w:val="002F465F"/>
    <w:rsid w:val="003032D1"/>
    <w:rsid w:val="003037B1"/>
    <w:rsid w:val="003168D8"/>
    <w:rsid w:val="00317A91"/>
    <w:rsid w:val="00324BE4"/>
    <w:rsid w:val="0033062E"/>
    <w:rsid w:val="00332EA1"/>
    <w:rsid w:val="003342E4"/>
    <w:rsid w:val="00334FD5"/>
    <w:rsid w:val="00340EAB"/>
    <w:rsid w:val="00341880"/>
    <w:rsid w:val="00344834"/>
    <w:rsid w:val="003463F9"/>
    <w:rsid w:val="00351624"/>
    <w:rsid w:val="00355450"/>
    <w:rsid w:val="00355781"/>
    <w:rsid w:val="00357DF7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068E"/>
    <w:rsid w:val="003D48E5"/>
    <w:rsid w:val="003D6370"/>
    <w:rsid w:val="003E5DCF"/>
    <w:rsid w:val="003F0EA3"/>
    <w:rsid w:val="003F667E"/>
    <w:rsid w:val="0040317F"/>
    <w:rsid w:val="0040670E"/>
    <w:rsid w:val="004203B7"/>
    <w:rsid w:val="004246C2"/>
    <w:rsid w:val="00425A8B"/>
    <w:rsid w:val="00430D3D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3EBC"/>
    <w:rsid w:val="004A4DF3"/>
    <w:rsid w:val="004A69AF"/>
    <w:rsid w:val="004B3297"/>
    <w:rsid w:val="004B41A0"/>
    <w:rsid w:val="004B54C6"/>
    <w:rsid w:val="004B7170"/>
    <w:rsid w:val="004C039F"/>
    <w:rsid w:val="004C1D5D"/>
    <w:rsid w:val="004C28F8"/>
    <w:rsid w:val="004C66E8"/>
    <w:rsid w:val="004D11DE"/>
    <w:rsid w:val="004D163B"/>
    <w:rsid w:val="004D6C32"/>
    <w:rsid w:val="004F4E9E"/>
    <w:rsid w:val="004F5050"/>
    <w:rsid w:val="00500DB6"/>
    <w:rsid w:val="005029C6"/>
    <w:rsid w:val="00514311"/>
    <w:rsid w:val="00525A19"/>
    <w:rsid w:val="00525BD5"/>
    <w:rsid w:val="00525C1D"/>
    <w:rsid w:val="005264B0"/>
    <w:rsid w:val="005600E9"/>
    <w:rsid w:val="00563340"/>
    <w:rsid w:val="005701F4"/>
    <w:rsid w:val="0057113C"/>
    <w:rsid w:val="0057190E"/>
    <w:rsid w:val="005745BC"/>
    <w:rsid w:val="00581E1B"/>
    <w:rsid w:val="00587381"/>
    <w:rsid w:val="00597F23"/>
    <w:rsid w:val="005A013D"/>
    <w:rsid w:val="005A11E4"/>
    <w:rsid w:val="005A5638"/>
    <w:rsid w:val="005A7973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3194"/>
    <w:rsid w:val="00603902"/>
    <w:rsid w:val="00606BB3"/>
    <w:rsid w:val="00612C50"/>
    <w:rsid w:val="006135EC"/>
    <w:rsid w:val="0061471B"/>
    <w:rsid w:val="006261BD"/>
    <w:rsid w:val="00627C0D"/>
    <w:rsid w:val="00645458"/>
    <w:rsid w:val="00667ED1"/>
    <w:rsid w:val="0067410C"/>
    <w:rsid w:val="00682C60"/>
    <w:rsid w:val="00683B5F"/>
    <w:rsid w:val="00685B29"/>
    <w:rsid w:val="00685EA3"/>
    <w:rsid w:val="006863A2"/>
    <w:rsid w:val="0068792F"/>
    <w:rsid w:val="0069578E"/>
    <w:rsid w:val="00697296"/>
    <w:rsid w:val="006A20F0"/>
    <w:rsid w:val="006B5AC7"/>
    <w:rsid w:val="006B77FC"/>
    <w:rsid w:val="006C5005"/>
    <w:rsid w:val="006C734C"/>
    <w:rsid w:val="006D18B6"/>
    <w:rsid w:val="006E1095"/>
    <w:rsid w:val="006E6646"/>
    <w:rsid w:val="006E732F"/>
    <w:rsid w:val="006F2D77"/>
    <w:rsid w:val="007001C2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55CE7"/>
    <w:rsid w:val="00764487"/>
    <w:rsid w:val="0076751A"/>
    <w:rsid w:val="00771258"/>
    <w:rsid w:val="007839FE"/>
    <w:rsid w:val="00784B83"/>
    <w:rsid w:val="0078644D"/>
    <w:rsid w:val="00792301"/>
    <w:rsid w:val="0079494D"/>
    <w:rsid w:val="007A1ED6"/>
    <w:rsid w:val="007A28AA"/>
    <w:rsid w:val="007A29FA"/>
    <w:rsid w:val="007A77A3"/>
    <w:rsid w:val="007B0935"/>
    <w:rsid w:val="007C7DAA"/>
    <w:rsid w:val="007D2F8B"/>
    <w:rsid w:val="007E49AE"/>
    <w:rsid w:val="007F2C61"/>
    <w:rsid w:val="007F658C"/>
    <w:rsid w:val="007F6C3E"/>
    <w:rsid w:val="00802619"/>
    <w:rsid w:val="008102C2"/>
    <w:rsid w:val="00811EFC"/>
    <w:rsid w:val="00811FB5"/>
    <w:rsid w:val="008157D7"/>
    <w:rsid w:val="008320B1"/>
    <w:rsid w:val="00847982"/>
    <w:rsid w:val="00854F6F"/>
    <w:rsid w:val="00855585"/>
    <w:rsid w:val="00863826"/>
    <w:rsid w:val="00873A16"/>
    <w:rsid w:val="00873F0D"/>
    <w:rsid w:val="00874CA5"/>
    <w:rsid w:val="008A0A06"/>
    <w:rsid w:val="008A1F0F"/>
    <w:rsid w:val="008A6780"/>
    <w:rsid w:val="008A6EEC"/>
    <w:rsid w:val="008A7904"/>
    <w:rsid w:val="008B2370"/>
    <w:rsid w:val="008B76CA"/>
    <w:rsid w:val="008C735D"/>
    <w:rsid w:val="008C7A40"/>
    <w:rsid w:val="008D3A8F"/>
    <w:rsid w:val="00902E49"/>
    <w:rsid w:val="009044E0"/>
    <w:rsid w:val="009060E2"/>
    <w:rsid w:val="00910644"/>
    <w:rsid w:val="009106D1"/>
    <w:rsid w:val="00913A49"/>
    <w:rsid w:val="009200FE"/>
    <w:rsid w:val="009222E8"/>
    <w:rsid w:val="009322AD"/>
    <w:rsid w:val="00955647"/>
    <w:rsid w:val="00957803"/>
    <w:rsid w:val="00957F7A"/>
    <w:rsid w:val="00961B35"/>
    <w:rsid w:val="00961C9A"/>
    <w:rsid w:val="00961FCE"/>
    <w:rsid w:val="0096279B"/>
    <w:rsid w:val="00991CF4"/>
    <w:rsid w:val="009958CA"/>
    <w:rsid w:val="009A4E58"/>
    <w:rsid w:val="009B077A"/>
    <w:rsid w:val="009B0EB6"/>
    <w:rsid w:val="009B26AB"/>
    <w:rsid w:val="009B6584"/>
    <w:rsid w:val="009C276B"/>
    <w:rsid w:val="009D11AD"/>
    <w:rsid w:val="009D5986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0104"/>
    <w:rsid w:val="00A25CCF"/>
    <w:rsid w:val="00A340FC"/>
    <w:rsid w:val="00A34B64"/>
    <w:rsid w:val="00A47212"/>
    <w:rsid w:val="00A52D9A"/>
    <w:rsid w:val="00A5557A"/>
    <w:rsid w:val="00A56956"/>
    <w:rsid w:val="00A604B1"/>
    <w:rsid w:val="00A722F0"/>
    <w:rsid w:val="00A735CE"/>
    <w:rsid w:val="00A81452"/>
    <w:rsid w:val="00A83F5E"/>
    <w:rsid w:val="00A87467"/>
    <w:rsid w:val="00A87ADF"/>
    <w:rsid w:val="00A87CC4"/>
    <w:rsid w:val="00A90D62"/>
    <w:rsid w:val="00AB2FE0"/>
    <w:rsid w:val="00AC243A"/>
    <w:rsid w:val="00AC50D7"/>
    <w:rsid w:val="00AC7DE5"/>
    <w:rsid w:val="00AD663F"/>
    <w:rsid w:val="00AE6D2E"/>
    <w:rsid w:val="00AF382F"/>
    <w:rsid w:val="00B01725"/>
    <w:rsid w:val="00B05658"/>
    <w:rsid w:val="00B06E96"/>
    <w:rsid w:val="00B07275"/>
    <w:rsid w:val="00B07A68"/>
    <w:rsid w:val="00B32886"/>
    <w:rsid w:val="00B41FC2"/>
    <w:rsid w:val="00B44133"/>
    <w:rsid w:val="00B63298"/>
    <w:rsid w:val="00B63E7C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E544E"/>
    <w:rsid w:val="00BE704D"/>
    <w:rsid w:val="00BF0A49"/>
    <w:rsid w:val="00BF329F"/>
    <w:rsid w:val="00BF5A0E"/>
    <w:rsid w:val="00BF7B2D"/>
    <w:rsid w:val="00C06952"/>
    <w:rsid w:val="00C23384"/>
    <w:rsid w:val="00C26205"/>
    <w:rsid w:val="00C31227"/>
    <w:rsid w:val="00C35629"/>
    <w:rsid w:val="00C4086F"/>
    <w:rsid w:val="00C52A06"/>
    <w:rsid w:val="00C63A16"/>
    <w:rsid w:val="00C65B60"/>
    <w:rsid w:val="00C72B00"/>
    <w:rsid w:val="00C73CAE"/>
    <w:rsid w:val="00C83735"/>
    <w:rsid w:val="00C92969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CF6012"/>
    <w:rsid w:val="00D023A0"/>
    <w:rsid w:val="00D07034"/>
    <w:rsid w:val="00D1099E"/>
    <w:rsid w:val="00D12BC2"/>
    <w:rsid w:val="00D176A8"/>
    <w:rsid w:val="00D17CFB"/>
    <w:rsid w:val="00D216BD"/>
    <w:rsid w:val="00D235BA"/>
    <w:rsid w:val="00D27727"/>
    <w:rsid w:val="00D36EFF"/>
    <w:rsid w:val="00D37D33"/>
    <w:rsid w:val="00D4141E"/>
    <w:rsid w:val="00D56DEF"/>
    <w:rsid w:val="00D634CF"/>
    <w:rsid w:val="00D656E4"/>
    <w:rsid w:val="00D705F6"/>
    <w:rsid w:val="00D822FB"/>
    <w:rsid w:val="00D93134"/>
    <w:rsid w:val="00D94920"/>
    <w:rsid w:val="00DA3D92"/>
    <w:rsid w:val="00DB479E"/>
    <w:rsid w:val="00DC294C"/>
    <w:rsid w:val="00DD03F7"/>
    <w:rsid w:val="00DE6F1A"/>
    <w:rsid w:val="00DF0B31"/>
    <w:rsid w:val="00DF48A4"/>
    <w:rsid w:val="00E03C39"/>
    <w:rsid w:val="00E06FE4"/>
    <w:rsid w:val="00E12B7D"/>
    <w:rsid w:val="00E24F2B"/>
    <w:rsid w:val="00E26379"/>
    <w:rsid w:val="00E32D7E"/>
    <w:rsid w:val="00E3517F"/>
    <w:rsid w:val="00E4763C"/>
    <w:rsid w:val="00E61420"/>
    <w:rsid w:val="00E61E60"/>
    <w:rsid w:val="00E6704B"/>
    <w:rsid w:val="00E70FEA"/>
    <w:rsid w:val="00E76AEB"/>
    <w:rsid w:val="00E84030"/>
    <w:rsid w:val="00E8487A"/>
    <w:rsid w:val="00E856E6"/>
    <w:rsid w:val="00E864BA"/>
    <w:rsid w:val="00E919CA"/>
    <w:rsid w:val="00E92DCC"/>
    <w:rsid w:val="00E935CE"/>
    <w:rsid w:val="00EA70AD"/>
    <w:rsid w:val="00EB01E5"/>
    <w:rsid w:val="00EB2770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64D66"/>
    <w:rsid w:val="00F734B4"/>
    <w:rsid w:val="00F734DA"/>
    <w:rsid w:val="00F74CD5"/>
    <w:rsid w:val="00F84B8D"/>
    <w:rsid w:val="00FA00CC"/>
    <w:rsid w:val="00FA10EF"/>
    <w:rsid w:val="00FA2FAA"/>
    <w:rsid w:val="00FA7685"/>
    <w:rsid w:val="00FA7E0F"/>
    <w:rsid w:val="00FB7865"/>
    <w:rsid w:val="00FC4F71"/>
    <w:rsid w:val="00FC6252"/>
    <w:rsid w:val="00FD4503"/>
    <w:rsid w:val="00FD7078"/>
    <w:rsid w:val="00FE166B"/>
    <w:rsid w:val="00FE4F6B"/>
    <w:rsid w:val="00FE50A1"/>
    <w:rsid w:val="00FE5CDE"/>
    <w:rsid w:val="00FF4F48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A96E5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2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uiPriority w:val="99"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semiHidden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character" w:styleId="Poudarek">
    <w:name w:val="Emphasis"/>
    <w:basedOn w:val="Privzetapisavaodstavka"/>
    <w:uiPriority w:val="20"/>
    <w:qFormat/>
    <w:rsid w:val="009D5986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EA70AD"/>
    <w:rPr>
      <w:color w:val="605E5C"/>
      <w:shd w:val="clear" w:color="auto" w:fill="E1DFDD"/>
    </w:rPr>
  </w:style>
  <w:style w:type="paragraph" w:customStyle="1" w:styleId="Slog1">
    <w:name w:val="Slog 1"/>
    <w:basedOn w:val="Navaden"/>
    <w:uiPriority w:val="99"/>
    <w:rsid w:val="00DE6F1A"/>
    <w:pPr>
      <w:numPr>
        <w:numId w:val="38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do.com/article/10.30657/pea.2024.30.20" TargetMode="External"/><Relationship Id="rId13" Type="http://schemas.openxmlformats.org/officeDocument/2006/relationships/hyperlink" Target="https://dk.um.si/IzpisGradiva.php?id=9348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3390/wevj12010015" TargetMode="External"/><Relationship Id="rId12" Type="http://schemas.openxmlformats.org/officeDocument/2006/relationships/hyperlink" Target="https://www.mdpi.com/2071-1050/17/6/2694" TargetMode="External"/><Relationship Id="rId17" Type="http://schemas.openxmlformats.org/officeDocument/2006/relationships/hyperlink" Target="https://sciendo.com/article/10.2478/mspe-2024-00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pii/S2352484724008060?via%3Dihub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us-legacy.cobiss.net/cobiss/si/sl/bib/2025886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us-legacy.cobiss.net/cobiss/si/sl/bib/233133315" TargetMode="External"/><Relationship Id="rId10" Type="http://schemas.openxmlformats.org/officeDocument/2006/relationships/hyperlink" Target="https://dx.doi.org/10.30657/pea.2024.30.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k.um.si/IzpisGradiva.php?id=93759" TargetMode="External"/><Relationship Id="rId14" Type="http://schemas.openxmlformats.org/officeDocument/2006/relationships/hyperlink" Target="https://dx.doi.org/10.3390/su1706269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4</Pages>
  <Words>1613</Words>
  <Characters>12102</Characters>
  <Application>Microsoft Office Word</Application>
  <DocSecurity>0</DocSecurity>
  <Lines>100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12</cp:revision>
  <cp:lastPrinted>2019-01-30T13:00:00Z</cp:lastPrinted>
  <dcterms:created xsi:type="dcterms:W3CDTF">2026-01-16T10:03:00Z</dcterms:created>
  <dcterms:modified xsi:type="dcterms:W3CDTF">2026-03-11T13:45:00Z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fda6ad970eb808c4cc4674ac146901b2ade46a5422a9b3823fb5ffd413d862f5</vt:lpwstr>
  </property>
</Properties>
</file>