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350CD4" w14:paraId="605D34DD" w14:textId="77777777" w:rsidTr="0B44B878">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350CD4" w:rsidRDefault="005A11E4" w:rsidP="004A33B9">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 xml:space="preserve">UČNI NAČRT </w:t>
            </w:r>
            <w:r w:rsidR="00F4075A" w:rsidRPr="00350CD4">
              <w:rPr>
                <w:rFonts w:asciiTheme="minorHAnsi" w:eastAsia="Calibri" w:hAnsiTheme="minorHAnsi" w:cstheme="minorHAnsi"/>
                <w:b/>
                <w:sz w:val="20"/>
                <w:szCs w:val="20"/>
                <w:lang w:eastAsia="sl-SI"/>
              </w:rPr>
              <w:t>PREDMETA</w:t>
            </w:r>
            <w:r w:rsidRPr="00350CD4">
              <w:rPr>
                <w:rFonts w:asciiTheme="minorHAnsi" w:eastAsia="Calibri" w:hAnsiTheme="minorHAnsi" w:cstheme="minorHAnsi"/>
                <w:b/>
                <w:sz w:val="20"/>
                <w:szCs w:val="20"/>
                <w:lang w:eastAsia="sl-SI"/>
              </w:rPr>
              <w:t xml:space="preserve"> / </w:t>
            </w:r>
            <w:r w:rsidR="004A33B9" w:rsidRPr="00350CD4">
              <w:rPr>
                <w:rFonts w:asciiTheme="minorHAnsi" w:eastAsia="Calibri" w:hAnsiTheme="minorHAnsi" w:cstheme="minorHAnsi"/>
                <w:b/>
                <w:sz w:val="20"/>
                <w:szCs w:val="20"/>
                <w:lang w:eastAsia="sl-SI"/>
              </w:rPr>
              <w:t>COURSE SYLLABUS</w:t>
            </w:r>
          </w:p>
        </w:tc>
      </w:tr>
      <w:tr w:rsidR="00E638E3" w:rsidRPr="00350CD4" w14:paraId="36413FBF" w14:textId="77777777" w:rsidTr="0B44B878">
        <w:tc>
          <w:tcPr>
            <w:tcW w:w="1797" w:type="dxa"/>
            <w:gridSpan w:val="2"/>
          </w:tcPr>
          <w:p w14:paraId="72C1DC59"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122F28E9" w14:textId="1E0F8001" w:rsidR="00E638E3" w:rsidRPr="00350CD4" w:rsidRDefault="00E638E3" w:rsidP="1101E3E9">
            <w:pPr>
              <w:rPr>
                <w:rFonts w:asciiTheme="minorHAnsi" w:hAnsiTheme="minorHAnsi" w:cstheme="minorHAnsi"/>
                <w:sz w:val="20"/>
                <w:szCs w:val="20"/>
                <w:lang w:eastAsia="sl-SI"/>
              </w:rPr>
            </w:pPr>
            <w:r w:rsidRPr="00350CD4">
              <w:rPr>
                <w:rFonts w:asciiTheme="minorHAnsi" w:hAnsiTheme="minorHAnsi" w:cstheme="minorHAnsi"/>
                <w:sz w:val="20"/>
                <w:szCs w:val="20"/>
              </w:rPr>
              <w:t xml:space="preserve">MANAGEMENT </w:t>
            </w:r>
            <w:r w:rsidR="7B621969" w:rsidRPr="00350CD4">
              <w:rPr>
                <w:rFonts w:asciiTheme="minorHAnsi" w:hAnsiTheme="minorHAnsi" w:cstheme="minorHAnsi"/>
                <w:sz w:val="20"/>
                <w:szCs w:val="20"/>
              </w:rPr>
              <w:t xml:space="preserve">IN PODJETNIŠTVO V </w:t>
            </w:r>
            <w:r w:rsidRPr="00350CD4">
              <w:rPr>
                <w:rFonts w:asciiTheme="minorHAnsi" w:hAnsiTheme="minorHAnsi" w:cstheme="minorHAnsi"/>
                <w:sz w:val="20"/>
                <w:szCs w:val="20"/>
              </w:rPr>
              <w:t>TRAJNOSTNIH OSKRBOVALNIH VERIG</w:t>
            </w:r>
            <w:r w:rsidR="251E39B8" w:rsidRPr="00350CD4">
              <w:rPr>
                <w:rFonts w:asciiTheme="minorHAnsi" w:hAnsiTheme="minorHAnsi" w:cstheme="minorHAnsi"/>
                <w:sz w:val="20"/>
                <w:szCs w:val="20"/>
              </w:rPr>
              <w:t>AH</w:t>
            </w:r>
          </w:p>
        </w:tc>
      </w:tr>
      <w:tr w:rsidR="00E638E3" w:rsidRPr="00350CD4" w14:paraId="12BB578E" w14:textId="77777777" w:rsidTr="0B44B878">
        <w:tc>
          <w:tcPr>
            <w:tcW w:w="1797" w:type="dxa"/>
            <w:gridSpan w:val="2"/>
          </w:tcPr>
          <w:p w14:paraId="003758B5"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6652D4D2" w14:textId="7FE6D36F" w:rsidR="00E638E3" w:rsidRPr="00350CD4" w:rsidRDefault="00E638E3" w:rsidP="1101E3E9">
            <w:pPr>
              <w:rPr>
                <w:rFonts w:asciiTheme="minorHAnsi" w:eastAsia="Calibri" w:hAnsiTheme="minorHAnsi" w:cstheme="minorHAnsi"/>
                <w:b/>
                <w:bCs/>
                <w:sz w:val="20"/>
                <w:szCs w:val="20"/>
                <w:lang w:eastAsia="sl-SI"/>
              </w:rPr>
            </w:pPr>
            <w:r w:rsidRPr="00350CD4">
              <w:rPr>
                <w:rFonts w:asciiTheme="minorHAnsi" w:hAnsiTheme="minorHAnsi" w:cstheme="minorHAnsi"/>
                <w:sz w:val="20"/>
                <w:szCs w:val="20"/>
              </w:rPr>
              <w:t xml:space="preserve">MANAGEMENT  </w:t>
            </w:r>
            <w:r w:rsidR="55448387" w:rsidRPr="00350CD4">
              <w:rPr>
                <w:rFonts w:asciiTheme="minorHAnsi" w:hAnsiTheme="minorHAnsi" w:cstheme="minorHAnsi"/>
                <w:sz w:val="20"/>
                <w:szCs w:val="20"/>
              </w:rPr>
              <w:t xml:space="preserve">AND ENTREPRENEURSHIP IN </w:t>
            </w:r>
            <w:r w:rsidRPr="00350CD4">
              <w:rPr>
                <w:rFonts w:asciiTheme="minorHAnsi" w:hAnsiTheme="minorHAnsi" w:cstheme="minorHAnsi"/>
                <w:sz w:val="20"/>
                <w:szCs w:val="20"/>
              </w:rPr>
              <w:t>SUSTAINABLE SUPPLY CHAIN</w:t>
            </w:r>
            <w:r w:rsidR="02377878" w:rsidRPr="00350CD4">
              <w:rPr>
                <w:rFonts w:asciiTheme="minorHAnsi" w:hAnsiTheme="minorHAnsi" w:cstheme="minorHAnsi"/>
                <w:sz w:val="20"/>
                <w:szCs w:val="20"/>
              </w:rPr>
              <w:t>S</w:t>
            </w:r>
          </w:p>
        </w:tc>
      </w:tr>
      <w:tr w:rsidR="005A11E4" w:rsidRPr="00350CD4" w14:paraId="0BB44B80" w14:textId="77777777" w:rsidTr="0B44B878">
        <w:tc>
          <w:tcPr>
            <w:tcW w:w="3305" w:type="dxa"/>
            <w:gridSpan w:val="5"/>
            <w:vAlign w:val="center"/>
          </w:tcPr>
          <w:p w14:paraId="381AAD97" w14:textId="77777777" w:rsidR="005A11E4" w:rsidRPr="00350CD4" w:rsidRDefault="005A11E4" w:rsidP="00B71733">
            <w:pPr>
              <w:jc w:val="center"/>
              <w:rPr>
                <w:rFonts w:asciiTheme="minorHAnsi" w:eastAsia="Calibri" w:hAnsiTheme="minorHAnsi" w:cstheme="minorHAnsi"/>
                <w:b/>
                <w:sz w:val="20"/>
                <w:szCs w:val="20"/>
                <w:lang w:eastAsia="sl-SI"/>
              </w:rPr>
            </w:pPr>
          </w:p>
        </w:tc>
        <w:tc>
          <w:tcPr>
            <w:tcW w:w="3401" w:type="dxa"/>
            <w:gridSpan w:val="7"/>
            <w:vAlign w:val="center"/>
          </w:tcPr>
          <w:p w14:paraId="72824CE0" w14:textId="77777777" w:rsidR="005A11E4" w:rsidRPr="00350CD4" w:rsidRDefault="005A11E4" w:rsidP="00B71733">
            <w:pPr>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350CD4" w:rsidRDefault="005A11E4" w:rsidP="00B71733">
            <w:pPr>
              <w:jc w:val="center"/>
              <w:rPr>
                <w:rFonts w:asciiTheme="minorHAnsi" w:eastAsia="Calibri" w:hAnsiTheme="minorHAnsi" w:cstheme="minorHAnsi"/>
                <w:b/>
                <w:sz w:val="20"/>
                <w:szCs w:val="20"/>
                <w:lang w:eastAsia="sl-SI"/>
              </w:rPr>
            </w:pPr>
          </w:p>
        </w:tc>
        <w:tc>
          <w:tcPr>
            <w:tcW w:w="1426" w:type="dxa"/>
            <w:gridSpan w:val="3"/>
            <w:vAlign w:val="center"/>
          </w:tcPr>
          <w:p w14:paraId="2EB909A8" w14:textId="77777777" w:rsidR="005A11E4" w:rsidRPr="00350CD4" w:rsidRDefault="005A11E4" w:rsidP="00B71733">
            <w:pPr>
              <w:jc w:val="center"/>
              <w:rPr>
                <w:rFonts w:asciiTheme="minorHAnsi" w:eastAsia="Calibri" w:hAnsiTheme="minorHAnsi" w:cstheme="minorHAnsi"/>
                <w:b/>
                <w:sz w:val="20"/>
                <w:szCs w:val="20"/>
                <w:lang w:eastAsia="sl-SI"/>
              </w:rPr>
            </w:pPr>
          </w:p>
        </w:tc>
      </w:tr>
      <w:tr w:rsidR="005A11E4" w:rsidRPr="00350CD4" w14:paraId="5EC26D3D" w14:textId="77777777" w:rsidTr="0B44B878">
        <w:tc>
          <w:tcPr>
            <w:tcW w:w="3305" w:type="dxa"/>
            <w:gridSpan w:val="5"/>
            <w:tcBorders>
              <w:top w:val="nil"/>
              <w:left w:val="nil"/>
              <w:bottom w:val="single" w:sz="4" w:space="0" w:color="auto"/>
              <w:right w:val="nil"/>
            </w:tcBorders>
            <w:vAlign w:val="center"/>
          </w:tcPr>
          <w:p w14:paraId="1EC11C55"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Študijski program in stopnja</w:t>
            </w:r>
          </w:p>
          <w:p w14:paraId="7168B082" w14:textId="77777777" w:rsidR="005A11E4" w:rsidRPr="00350CD4" w:rsidRDefault="005A11E4" w:rsidP="00B71733">
            <w:pPr>
              <w:jc w:val="center"/>
              <w:rPr>
                <w:rFonts w:asciiTheme="minorHAnsi" w:eastAsia="Calibri" w:hAnsiTheme="minorHAnsi" w:cstheme="minorHAnsi"/>
                <w:sz w:val="20"/>
                <w:szCs w:val="20"/>
                <w:lang w:eastAsia="sl-SI"/>
              </w:rPr>
            </w:pPr>
            <w:r w:rsidRPr="00350CD4">
              <w:rPr>
                <w:rFonts w:asciiTheme="minorHAnsi" w:eastAsia="Calibri" w:hAnsiTheme="minorHAnsi" w:cstheme="minorHAnsi"/>
                <w:b/>
                <w:sz w:val="20"/>
                <w:szCs w:val="20"/>
                <w:lang w:eastAsia="sl-SI"/>
              </w:rPr>
              <w:t>Study programme and cycle</w:t>
            </w:r>
          </w:p>
        </w:tc>
        <w:tc>
          <w:tcPr>
            <w:tcW w:w="3401" w:type="dxa"/>
            <w:gridSpan w:val="7"/>
            <w:tcBorders>
              <w:top w:val="nil"/>
              <w:left w:val="nil"/>
              <w:bottom w:val="single" w:sz="4" w:space="0" w:color="auto"/>
              <w:right w:val="nil"/>
            </w:tcBorders>
            <w:vAlign w:val="center"/>
          </w:tcPr>
          <w:p w14:paraId="58485DF1"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Študijska smer</w:t>
            </w:r>
          </w:p>
          <w:p w14:paraId="6B48C3FC"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Letnik</w:t>
            </w:r>
          </w:p>
          <w:p w14:paraId="73CD4A4A"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Semester</w:t>
            </w:r>
          </w:p>
          <w:p w14:paraId="3556D1FB"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Semester</w:t>
            </w:r>
          </w:p>
        </w:tc>
      </w:tr>
      <w:tr w:rsidR="00B1469E" w:rsidRPr="00350CD4" w14:paraId="23FFFBED" w14:textId="77777777" w:rsidTr="0B44B87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350CD4" w:rsidRDefault="00B1469E"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bCs/>
                <w:sz w:val="20"/>
                <w:szCs w:val="20"/>
              </w:rPr>
              <w:t>LOGISTIKA SISTEMOV 1.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350CD4" w:rsidRDefault="00B1469E" w:rsidP="00B1469E">
            <w:pPr>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F8FB490" w:rsidR="00B1469E" w:rsidRPr="00350CD4" w:rsidRDefault="006A772B"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bCs/>
                <w:sz w:val="20"/>
                <w:szCs w:val="20"/>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78E0551" w:rsidR="00B1469E" w:rsidRPr="00350CD4" w:rsidRDefault="4132D4C6"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sz w:val="20"/>
                <w:szCs w:val="20"/>
              </w:rPr>
              <w:t>4</w:t>
            </w:r>
            <w:r w:rsidR="300F2F98" w:rsidRPr="00350CD4">
              <w:rPr>
                <w:rFonts w:asciiTheme="minorHAnsi" w:hAnsiTheme="minorHAnsi" w:cstheme="minorHAnsi"/>
                <w:sz w:val="20"/>
                <w:szCs w:val="20"/>
              </w:rPr>
              <w:t>.</w:t>
            </w:r>
          </w:p>
        </w:tc>
      </w:tr>
      <w:tr w:rsidR="00B1469E" w:rsidRPr="00350CD4" w14:paraId="4AE235F2" w14:textId="77777777" w:rsidTr="0B44B87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350CD4" w:rsidRDefault="00B1469E" w:rsidP="00B1469E">
            <w:pPr>
              <w:jc w:val="center"/>
              <w:rPr>
                <w:rFonts w:asciiTheme="minorHAnsi" w:eastAsia="Calibri" w:hAnsiTheme="minorHAnsi" w:cstheme="minorHAnsi"/>
                <w:bCs/>
                <w:sz w:val="20"/>
                <w:szCs w:val="20"/>
                <w:lang w:eastAsia="sl-SI"/>
              </w:rPr>
            </w:pPr>
            <w:r w:rsidRPr="00350CD4">
              <w:rPr>
                <w:rFonts w:asciiTheme="minorHAnsi" w:hAnsiTheme="minorHAnsi" w:cstheme="minorHAnsi"/>
                <w:bCs/>
                <w:sz w:val="20"/>
                <w:szCs w:val="20"/>
              </w:rPr>
              <w:t>SYSTEM LOGISTICS 1</w:t>
            </w:r>
            <w:r w:rsidRPr="00350CD4">
              <w:rPr>
                <w:rFonts w:asciiTheme="minorHAnsi" w:hAnsiTheme="minorHAnsi" w:cstheme="minorHAnsi"/>
                <w:bCs/>
                <w:sz w:val="20"/>
                <w:szCs w:val="20"/>
                <w:vertAlign w:val="superscript"/>
              </w:rPr>
              <w:t>st</w:t>
            </w:r>
            <w:r w:rsidRPr="00350CD4">
              <w:rPr>
                <w:rFonts w:asciiTheme="minorHAnsi" w:hAnsiTheme="minorHAnsi" w:cstheme="minorHAnsi"/>
                <w:bCs/>
                <w:sz w:val="20"/>
                <w:szCs w:val="20"/>
              </w:rPr>
              <w:t xml:space="preserve"> 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350CD4" w:rsidRDefault="00B1469E" w:rsidP="00B1469E">
            <w:pPr>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2A42800E" w:rsidR="00B1469E" w:rsidRPr="00350CD4" w:rsidRDefault="006A772B"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bCs/>
                <w:sz w:val="20"/>
                <w:szCs w:val="20"/>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9FD6E9E" w:rsidR="00B1469E" w:rsidRPr="00350CD4" w:rsidRDefault="78AAF722"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sz w:val="20"/>
                <w:szCs w:val="20"/>
              </w:rPr>
              <w:t>4</w:t>
            </w:r>
            <w:r w:rsidR="26EAB1CF" w:rsidRPr="00350CD4">
              <w:rPr>
                <w:rFonts w:asciiTheme="minorHAnsi" w:hAnsiTheme="minorHAnsi" w:cstheme="minorHAnsi"/>
                <w:sz w:val="20"/>
                <w:szCs w:val="20"/>
              </w:rPr>
              <w:t>.</w:t>
            </w:r>
          </w:p>
        </w:tc>
      </w:tr>
      <w:tr w:rsidR="005A11E4" w:rsidRPr="00350CD4" w14:paraId="1E148366" w14:textId="77777777" w:rsidTr="0B44B878">
        <w:trPr>
          <w:trHeight w:val="103"/>
        </w:trPr>
        <w:tc>
          <w:tcPr>
            <w:tcW w:w="9690" w:type="dxa"/>
            <w:gridSpan w:val="17"/>
          </w:tcPr>
          <w:p w14:paraId="633C5EFA" w14:textId="77777777" w:rsidR="005A11E4" w:rsidRPr="00350CD4" w:rsidRDefault="005A11E4" w:rsidP="00B71733">
            <w:pPr>
              <w:rPr>
                <w:rFonts w:asciiTheme="minorHAnsi" w:eastAsia="Calibri" w:hAnsiTheme="minorHAnsi" w:cstheme="minorHAnsi"/>
                <w:b/>
                <w:bCs/>
                <w:sz w:val="20"/>
                <w:szCs w:val="20"/>
                <w:lang w:eastAsia="sl-SI"/>
              </w:rPr>
            </w:pPr>
          </w:p>
        </w:tc>
      </w:tr>
      <w:tr w:rsidR="005A11E4" w:rsidRPr="00350CD4" w14:paraId="53363266" w14:textId="77777777" w:rsidTr="0B44B878">
        <w:trPr>
          <w:trHeight w:val="270"/>
        </w:trPr>
        <w:tc>
          <w:tcPr>
            <w:tcW w:w="5716" w:type="dxa"/>
            <w:gridSpan w:val="11"/>
            <w:vMerge w:val="restart"/>
            <w:tcBorders>
              <w:top w:val="nil"/>
              <w:left w:val="nil"/>
              <w:right w:val="single" w:sz="4" w:space="0" w:color="auto"/>
            </w:tcBorders>
          </w:tcPr>
          <w:p w14:paraId="1401AD15"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 xml:space="preserve">Vrsta predmeta (obvezni ali izbirni) / </w:t>
            </w:r>
          </w:p>
          <w:p w14:paraId="1F59CDFB"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26F41A45" w:rsidR="005A11E4" w:rsidRPr="00350CD4" w:rsidRDefault="00B1469E" w:rsidP="00B71733">
            <w:pPr>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OBVEZNI</w:t>
            </w:r>
          </w:p>
        </w:tc>
      </w:tr>
      <w:tr w:rsidR="005A11E4" w:rsidRPr="00350CD4" w14:paraId="6024E532" w14:textId="77777777" w:rsidTr="0B44B878">
        <w:trPr>
          <w:trHeight w:val="56"/>
        </w:trPr>
        <w:tc>
          <w:tcPr>
            <w:tcW w:w="5716" w:type="dxa"/>
            <w:gridSpan w:val="11"/>
            <w:vMerge/>
          </w:tcPr>
          <w:p w14:paraId="6138598E" w14:textId="77777777" w:rsidR="005A11E4" w:rsidRPr="00350CD4" w:rsidRDefault="005A11E4" w:rsidP="00B71733">
            <w:pPr>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5A86BBF" w:rsidR="005A11E4" w:rsidRPr="00350CD4" w:rsidRDefault="00B1469E" w:rsidP="00B71733">
            <w:pPr>
              <w:rPr>
                <w:rFonts w:asciiTheme="minorHAnsi" w:eastAsia="Calibri" w:hAnsiTheme="minorHAnsi" w:cstheme="minorHAnsi"/>
                <w:sz w:val="20"/>
                <w:szCs w:val="20"/>
                <w:lang w:val="en-GB" w:eastAsia="sl-SI"/>
              </w:rPr>
            </w:pPr>
            <w:r w:rsidRPr="00350CD4">
              <w:rPr>
                <w:rFonts w:asciiTheme="minorHAnsi" w:eastAsia="Calibri" w:hAnsiTheme="minorHAnsi" w:cstheme="minorHAnsi"/>
                <w:sz w:val="20"/>
                <w:szCs w:val="20"/>
                <w:lang w:val="en-GB" w:eastAsia="sl-SI"/>
              </w:rPr>
              <w:t>COMPULSORY</w:t>
            </w:r>
          </w:p>
        </w:tc>
      </w:tr>
      <w:tr w:rsidR="005A11E4" w:rsidRPr="00350CD4" w14:paraId="6B1B7C32" w14:textId="77777777" w:rsidTr="0B44B878">
        <w:tc>
          <w:tcPr>
            <w:tcW w:w="5716" w:type="dxa"/>
            <w:gridSpan w:val="11"/>
          </w:tcPr>
          <w:p w14:paraId="02799658" w14:textId="77777777" w:rsidR="005A11E4" w:rsidRPr="00350CD4" w:rsidRDefault="005A11E4" w:rsidP="00B71733">
            <w:pPr>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350CD4" w:rsidRDefault="005A11E4" w:rsidP="00B71733">
            <w:pPr>
              <w:rPr>
                <w:rFonts w:asciiTheme="minorHAnsi" w:eastAsia="Calibri" w:hAnsiTheme="minorHAnsi" w:cstheme="minorHAnsi"/>
                <w:sz w:val="20"/>
                <w:szCs w:val="20"/>
                <w:lang w:eastAsia="sl-SI"/>
              </w:rPr>
            </w:pPr>
          </w:p>
        </w:tc>
      </w:tr>
      <w:tr w:rsidR="005A11E4" w:rsidRPr="00350CD4" w14:paraId="5DB8E894" w14:textId="77777777" w:rsidTr="0B44B878">
        <w:tc>
          <w:tcPr>
            <w:tcW w:w="5716" w:type="dxa"/>
            <w:gridSpan w:val="11"/>
            <w:tcBorders>
              <w:top w:val="nil"/>
              <w:left w:val="nil"/>
              <w:bottom w:val="nil"/>
              <w:right w:val="single" w:sz="4" w:space="0" w:color="auto"/>
            </w:tcBorders>
          </w:tcPr>
          <w:p w14:paraId="18788BB8"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350CD4" w:rsidRDefault="00B1469E" w:rsidP="00B71733">
            <w:pPr>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UN</w:t>
            </w:r>
          </w:p>
        </w:tc>
      </w:tr>
      <w:tr w:rsidR="005A11E4" w:rsidRPr="00350CD4" w14:paraId="5FC48C48" w14:textId="77777777" w:rsidTr="0B44B878">
        <w:tc>
          <w:tcPr>
            <w:tcW w:w="9690" w:type="dxa"/>
            <w:gridSpan w:val="17"/>
          </w:tcPr>
          <w:p w14:paraId="19BF6CFB" w14:textId="77777777" w:rsidR="005A11E4" w:rsidRPr="00350CD4" w:rsidRDefault="005A11E4" w:rsidP="00B71733">
            <w:pPr>
              <w:rPr>
                <w:rFonts w:asciiTheme="minorHAnsi" w:eastAsia="Calibri" w:hAnsiTheme="minorHAnsi" w:cstheme="minorHAnsi"/>
                <w:sz w:val="20"/>
                <w:szCs w:val="20"/>
                <w:lang w:eastAsia="sl-SI"/>
              </w:rPr>
            </w:pPr>
          </w:p>
        </w:tc>
      </w:tr>
      <w:tr w:rsidR="005A11E4" w:rsidRPr="00350CD4" w14:paraId="69EB4177" w14:textId="77777777" w:rsidTr="00C54704">
        <w:tc>
          <w:tcPr>
            <w:tcW w:w="1408" w:type="dxa"/>
            <w:tcBorders>
              <w:top w:val="nil"/>
              <w:left w:val="nil"/>
              <w:bottom w:val="single" w:sz="4" w:space="0" w:color="auto"/>
              <w:right w:val="nil"/>
            </w:tcBorders>
            <w:vAlign w:val="center"/>
          </w:tcPr>
          <w:p w14:paraId="1246A1B7"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Predavanja</w:t>
            </w:r>
          </w:p>
          <w:p w14:paraId="3AB6B11D" w14:textId="77777777" w:rsidR="005A11E4" w:rsidRPr="00350CD4" w:rsidRDefault="005A11E4" w:rsidP="00B71733">
            <w:pPr>
              <w:jc w:val="center"/>
              <w:rPr>
                <w:rFonts w:asciiTheme="minorHAnsi" w:eastAsia="Calibri" w:hAnsiTheme="minorHAnsi" w:cstheme="minorHAnsi"/>
                <w:sz w:val="20"/>
                <w:szCs w:val="20"/>
                <w:lang w:eastAsia="sl-SI"/>
              </w:rPr>
            </w:pPr>
            <w:r w:rsidRPr="00350CD4">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Seminar</w:t>
            </w:r>
          </w:p>
          <w:p w14:paraId="04DEEED4"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Vaje</w:t>
            </w:r>
          </w:p>
          <w:p w14:paraId="10B353FB"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Klinične vaje</w:t>
            </w:r>
          </w:p>
          <w:p w14:paraId="634655B8"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Druge oblike študija</w:t>
            </w:r>
          </w:p>
          <w:p w14:paraId="451CAA1F"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Samost. delo</w:t>
            </w:r>
          </w:p>
          <w:p w14:paraId="4DF2C0FA"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350CD4" w:rsidRDefault="005A11E4" w:rsidP="00B71733">
            <w:pPr>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350CD4" w:rsidRDefault="005A11E4" w:rsidP="00B71733">
            <w:pPr>
              <w:jc w:val="cente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ECTS</w:t>
            </w:r>
          </w:p>
        </w:tc>
      </w:tr>
      <w:tr w:rsidR="00E638E3" w:rsidRPr="00350CD4" w14:paraId="6C3C0BA4" w14:textId="77777777" w:rsidTr="00C54704">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248ED8F8" w14:textId="23D9DB2D" w:rsidR="00E638E3" w:rsidRPr="00350CD4" w:rsidRDefault="00E638E3" w:rsidP="00B1469E">
            <w:pPr>
              <w:jc w:val="center"/>
              <w:rPr>
                <w:rFonts w:asciiTheme="minorHAnsi" w:hAnsiTheme="minorHAnsi" w:cstheme="minorHAnsi"/>
                <w:b/>
                <w:bCs/>
                <w:sz w:val="20"/>
                <w:szCs w:val="20"/>
              </w:rPr>
            </w:pPr>
            <w:r w:rsidRPr="00350CD4">
              <w:rPr>
                <w:rFonts w:asciiTheme="minorHAnsi" w:hAnsiTheme="minorHAnsi" w:cstheme="minorHAnsi"/>
                <w:bCs/>
                <w:sz w:val="20"/>
                <w:szCs w:val="20"/>
              </w:rPr>
              <w:t>24 a-P</w:t>
            </w:r>
          </w:p>
          <w:p w14:paraId="013B6061" w14:textId="0528CB92" w:rsidR="00E638E3" w:rsidRPr="00350CD4" w:rsidRDefault="00E638E3" w:rsidP="00B1469E">
            <w:pPr>
              <w:jc w:val="center"/>
              <w:rPr>
                <w:rFonts w:asciiTheme="minorHAnsi" w:eastAsia="Calibri" w:hAnsiTheme="minorHAnsi" w:cstheme="minorHAnsi"/>
                <w:b/>
                <w:bCs/>
                <w:sz w:val="20"/>
                <w:szCs w:val="20"/>
                <w:lang w:eastAsia="sl-SI"/>
              </w:rPr>
            </w:pPr>
            <w:r w:rsidRPr="00350CD4">
              <w:rPr>
                <w:rFonts w:asciiTheme="minorHAnsi" w:hAnsiTheme="minorHAnsi" w:cstheme="minorHAnsi"/>
                <w:bCs/>
                <w:sz w:val="20"/>
                <w:szCs w:val="20"/>
              </w:rPr>
              <w:t>21 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7394CA2F" w14:textId="439F5252" w:rsidR="00E638E3" w:rsidRPr="00350CD4" w:rsidRDefault="00AA3383" w:rsidP="00E638E3">
            <w:pPr>
              <w:jc w:val="center"/>
              <w:rPr>
                <w:rFonts w:asciiTheme="minorHAnsi" w:hAnsiTheme="minorHAnsi" w:cstheme="minorHAnsi"/>
                <w:bCs/>
                <w:sz w:val="20"/>
                <w:szCs w:val="20"/>
              </w:rPr>
            </w:pPr>
            <w:r w:rsidRPr="00350CD4">
              <w:rPr>
                <w:rFonts w:asciiTheme="minorHAnsi" w:hAnsiTheme="minorHAnsi" w:cstheme="minorHAnsi"/>
                <w:bCs/>
                <w:sz w:val="20"/>
                <w:szCs w:val="20"/>
              </w:rPr>
              <w:t>18</w:t>
            </w:r>
            <w:r w:rsidR="00E638E3" w:rsidRPr="00350CD4">
              <w:rPr>
                <w:rFonts w:asciiTheme="minorHAnsi" w:hAnsiTheme="minorHAnsi" w:cstheme="minorHAnsi"/>
                <w:bCs/>
                <w:sz w:val="20"/>
                <w:szCs w:val="20"/>
              </w:rPr>
              <w:t>e-V</w:t>
            </w:r>
          </w:p>
          <w:p w14:paraId="6C84A960" w14:textId="5225E649" w:rsidR="00E638E3" w:rsidRPr="00350CD4" w:rsidRDefault="00AA3383" w:rsidP="00E638E3">
            <w:pPr>
              <w:jc w:val="center"/>
              <w:rPr>
                <w:rFonts w:asciiTheme="minorHAnsi" w:eastAsia="Calibri" w:hAnsiTheme="minorHAnsi" w:cstheme="minorHAnsi"/>
                <w:b/>
                <w:bCs/>
                <w:sz w:val="20"/>
                <w:szCs w:val="20"/>
                <w:lang w:eastAsia="sl-SI"/>
              </w:rPr>
            </w:pPr>
            <w:r w:rsidRPr="00350CD4">
              <w:rPr>
                <w:rFonts w:asciiTheme="minorHAnsi" w:hAnsiTheme="minorHAnsi" w:cstheme="minorHAnsi"/>
                <w:bCs/>
                <w:sz w:val="20"/>
                <w:szCs w:val="20"/>
              </w:rPr>
              <w:t>27</w:t>
            </w:r>
            <w:r w:rsidR="00E638E3" w:rsidRPr="00350CD4">
              <w:rPr>
                <w:rFonts w:asciiTheme="minorHAnsi" w:hAnsiTheme="minorHAnsi" w:cstheme="minorHAnsi"/>
                <w:bCs/>
                <w:sz w:val="20"/>
                <w:szCs w:val="20"/>
              </w:rPr>
              <w:t>a-V</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256AA1A" w:rsidR="00E638E3" w:rsidRPr="00350CD4" w:rsidRDefault="00E638E3" w:rsidP="00B71733">
            <w:pPr>
              <w:jc w:val="center"/>
              <w:rPr>
                <w:rFonts w:asciiTheme="minorHAnsi" w:eastAsia="Calibri" w:hAnsiTheme="minorHAnsi" w:cstheme="minorHAnsi"/>
                <w:bCs/>
                <w:sz w:val="20"/>
                <w:szCs w:val="20"/>
                <w:lang w:eastAsia="sl-SI"/>
              </w:rPr>
            </w:pPr>
            <w:r w:rsidRPr="00350CD4">
              <w:rPr>
                <w:rFonts w:asciiTheme="minorHAnsi" w:eastAsia="Calibri" w:hAnsiTheme="minorHAnsi" w:cstheme="minorHAnsi"/>
                <w:bCs/>
                <w:sz w:val="20"/>
                <w:szCs w:val="20"/>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58F58625" w:rsidR="00E638E3" w:rsidRPr="00350CD4" w:rsidRDefault="00E638E3" w:rsidP="00B71733">
            <w:pPr>
              <w:jc w:val="center"/>
              <w:rPr>
                <w:rFonts w:asciiTheme="minorHAnsi" w:eastAsia="Calibri" w:hAnsiTheme="minorHAnsi" w:cstheme="minorHAnsi"/>
                <w:bCs/>
                <w:sz w:val="20"/>
                <w:szCs w:val="20"/>
                <w:lang w:eastAsia="sl-SI"/>
              </w:rPr>
            </w:pPr>
            <w:r w:rsidRPr="00350CD4">
              <w:rPr>
                <w:rFonts w:asciiTheme="minorHAnsi" w:eastAsia="Calibri" w:hAnsiTheme="minorHAnsi" w:cstheme="minorHAnsi"/>
                <w:bCs/>
                <w:sz w:val="20"/>
                <w:szCs w:val="20"/>
                <w:lang w:eastAsia="sl-SI"/>
              </w:rPr>
              <w:t>6</w:t>
            </w:r>
          </w:p>
        </w:tc>
      </w:tr>
      <w:tr w:rsidR="00E638E3" w:rsidRPr="00350CD4" w14:paraId="33611488" w14:textId="77777777" w:rsidTr="00C54704">
        <w:trPr>
          <w:trHeight w:val="318"/>
        </w:trPr>
        <w:tc>
          <w:tcPr>
            <w:tcW w:w="1408" w:type="dxa"/>
            <w:vMerge/>
            <w:tcBorders>
              <w:left w:val="single" w:sz="4" w:space="0" w:color="auto"/>
              <w:bottom w:val="single" w:sz="4" w:space="0" w:color="auto"/>
              <w:right w:val="single" w:sz="4" w:space="0" w:color="auto"/>
            </w:tcBorders>
            <w:vAlign w:val="center"/>
          </w:tcPr>
          <w:p w14:paraId="569775EF"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9D65752" w14:textId="79A61587" w:rsidR="00E638E3" w:rsidRPr="00350CD4" w:rsidRDefault="00E638E3" w:rsidP="00B71733">
            <w:pPr>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0EE0C7EC"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6062681F"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bottom w:val="single" w:sz="4" w:space="0" w:color="auto"/>
            </w:tcBorders>
            <w:vAlign w:val="center"/>
          </w:tcPr>
          <w:p w14:paraId="3A4160BA"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070" w:type="dxa"/>
            <w:vMerge/>
            <w:tcBorders>
              <w:bottom w:val="single" w:sz="4" w:space="0" w:color="auto"/>
              <w:right w:val="single" w:sz="4" w:space="0" w:color="auto"/>
            </w:tcBorders>
            <w:vAlign w:val="center"/>
          </w:tcPr>
          <w:p w14:paraId="250B08E6" w14:textId="77777777" w:rsidR="00E638E3" w:rsidRPr="00350CD4" w:rsidRDefault="00E638E3" w:rsidP="00B71733">
            <w:pPr>
              <w:jc w:val="center"/>
              <w:rPr>
                <w:rFonts w:asciiTheme="minorHAnsi" w:eastAsia="Calibri" w:hAnsiTheme="minorHAnsi" w:cstheme="minorHAnsi"/>
                <w:b/>
                <w:bCs/>
                <w:sz w:val="20"/>
                <w:szCs w:val="20"/>
                <w:lang w:eastAsia="sl-SI"/>
              </w:rPr>
            </w:pPr>
          </w:p>
        </w:tc>
      </w:tr>
      <w:tr w:rsidR="00E638E3" w:rsidRPr="00350CD4" w14:paraId="3AFC1636" w14:textId="77777777" w:rsidTr="00C54704">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bottom w:val="single" w:sz="4" w:space="0" w:color="auto"/>
            </w:tcBorders>
            <w:vAlign w:val="center"/>
          </w:tcPr>
          <w:p w14:paraId="267CC0B1"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E638E3" w:rsidRPr="00350CD4" w:rsidRDefault="00E638E3" w:rsidP="00B71733">
            <w:pPr>
              <w:jc w:val="center"/>
              <w:rPr>
                <w:rFonts w:asciiTheme="minorHAnsi" w:eastAsia="Calibri" w:hAnsiTheme="minorHAnsi" w:cstheme="minorHAnsi"/>
                <w:b/>
                <w:bCs/>
                <w:sz w:val="20"/>
                <w:szCs w:val="20"/>
                <w:lang w:eastAsia="sl-SI"/>
              </w:rPr>
            </w:pPr>
          </w:p>
        </w:tc>
        <w:tc>
          <w:tcPr>
            <w:tcW w:w="1070" w:type="dxa"/>
            <w:vMerge/>
            <w:tcBorders>
              <w:bottom w:val="single" w:sz="4" w:space="0" w:color="auto"/>
              <w:right w:val="single" w:sz="4" w:space="0" w:color="auto"/>
            </w:tcBorders>
            <w:vAlign w:val="center"/>
          </w:tcPr>
          <w:p w14:paraId="5FF45209" w14:textId="77777777" w:rsidR="00E638E3" w:rsidRPr="00350CD4" w:rsidRDefault="00E638E3" w:rsidP="00B71733">
            <w:pPr>
              <w:jc w:val="center"/>
              <w:rPr>
                <w:rFonts w:asciiTheme="minorHAnsi" w:eastAsia="Calibri" w:hAnsiTheme="minorHAnsi" w:cstheme="minorHAnsi"/>
                <w:b/>
                <w:bCs/>
                <w:sz w:val="20"/>
                <w:szCs w:val="20"/>
                <w:lang w:eastAsia="sl-SI"/>
              </w:rPr>
            </w:pPr>
          </w:p>
        </w:tc>
      </w:tr>
      <w:tr w:rsidR="005A11E4" w:rsidRPr="00350CD4" w14:paraId="6194853B" w14:textId="77777777" w:rsidTr="0B44B878">
        <w:tc>
          <w:tcPr>
            <w:tcW w:w="9690" w:type="dxa"/>
            <w:gridSpan w:val="17"/>
          </w:tcPr>
          <w:p w14:paraId="73ECE184" w14:textId="77777777" w:rsidR="005A11E4" w:rsidRPr="00350CD4" w:rsidRDefault="005A11E4" w:rsidP="00B71733">
            <w:pPr>
              <w:rPr>
                <w:rFonts w:asciiTheme="minorHAnsi" w:eastAsia="Calibri" w:hAnsiTheme="minorHAnsi" w:cstheme="minorHAnsi"/>
                <w:b/>
                <w:bCs/>
                <w:sz w:val="20"/>
                <w:szCs w:val="20"/>
                <w:lang w:eastAsia="sl-SI"/>
              </w:rPr>
            </w:pPr>
          </w:p>
        </w:tc>
      </w:tr>
      <w:tr w:rsidR="005A11E4" w:rsidRPr="00350CD4" w14:paraId="695F6595" w14:textId="77777777" w:rsidTr="0B44B878">
        <w:tc>
          <w:tcPr>
            <w:tcW w:w="3305" w:type="dxa"/>
            <w:gridSpan w:val="5"/>
          </w:tcPr>
          <w:p w14:paraId="19C80114"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28DE0B2C" w14:textId="7E8A7B76" w:rsidR="005A11E4" w:rsidRPr="00350CD4" w:rsidRDefault="00E638E3"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MATJAŽ KNEZ</w:t>
            </w:r>
          </w:p>
        </w:tc>
      </w:tr>
      <w:tr w:rsidR="005A11E4" w:rsidRPr="00350CD4" w14:paraId="373ADDF1" w14:textId="77777777" w:rsidTr="0B44B878">
        <w:tc>
          <w:tcPr>
            <w:tcW w:w="9690" w:type="dxa"/>
            <w:gridSpan w:val="17"/>
          </w:tcPr>
          <w:p w14:paraId="0BC8F3BA" w14:textId="77777777" w:rsidR="005A11E4" w:rsidRPr="00350CD4" w:rsidRDefault="005A11E4" w:rsidP="00B71733">
            <w:pPr>
              <w:jc w:val="both"/>
              <w:rPr>
                <w:rFonts w:asciiTheme="minorHAnsi" w:eastAsia="Calibri" w:hAnsiTheme="minorHAnsi" w:cstheme="minorHAnsi"/>
                <w:sz w:val="20"/>
                <w:szCs w:val="20"/>
                <w:lang w:eastAsia="sl-SI"/>
              </w:rPr>
            </w:pPr>
          </w:p>
        </w:tc>
      </w:tr>
      <w:tr w:rsidR="005A11E4" w:rsidRPr="00350CD4" w14:paraId="2546E5AF" w14:textId="77777777" w:rsidTr="0B44B878">
        <w:tc>
          <w:tcPr>
            <w:tcW w:w="2296" w:type="dxa"/>
            <w:gridSpan w:val="3"/>
            <w:vMerge w:val="restart"/>
          </w:tcPr>
          <w:p w14:paraId="6861494E" w14:textId="77777777" w:rsidR="005A11E4" w:rsidRPr="00350CD4" w:rsidRDefault="005A11E4" w:rsidP="00B71733">
            <w:pPr>
              <w:rPr>
                <w:rFonts w:asciiTheme="minorHAnsi" w:eastAsia="Calibri" w:hAnsiTheme="minorHAnsi" w:cstheme="minorHAnsi"/>
                <w:sz w:val="20"/>
                <w:szCs w:val="20"/>
                <w:lang w:eastAsia="sl-SI"/>
              </w:rPr>
            </w:pPr>
            <w:r w:rsidRPr="00350CD4">
              <w:rPr>
                <w:rFonts w:asciiTheme="minorHAnsi" w:eastAsia="Calibri" w:hAnsiTheme="minorHAnsi" w:cstheme="minorHAnsi"/>
                <w:b/>
                <w:sz w:val="20"/>
                <w:szCs w:val="20"/>
                <w:lang w:eastAsia="sl-SI"/>
              </w:rPr>
              <w:t>Jeziki /Languages:</w:t>
            </w:r>
          </w:p>
        </w:tc>
        <w:tc>
          <w:tcPr>
            <w:tcW w:w="2421" w:type="dxa"/>
            <w:gridSpan w:val="4"/>
          </w:tcPr>
          <w:p w14:paraId="77461E9B" w14:textId="77777777" w:rsidR="005A11E4" w:rsidRPr="00350CD4" w:rsidRDefault="005A11E4" w:rsidP="00B71733">
            <w:pPr>
              <w:jc w:val="right"/>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58112861" w14:textId="0694392F" w:rsidR="005A11E4" w:rsidRPr="00350CD4" w:rsidRDefault="00B1469E" w:rsidP="00B71733">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SLOVENSKI/SLOVENE</w:t>
            </w:r>
          </w:p>
        </w:tc>
      </w:tr>
      <w:tr w:rsidR="005A11E4" w:rsidRPr="00350CD4" w14:paraId="0712B376" w14:textId="77777777" w:rsidTr="0B44B878">
        <w:trPr>
          <w:trHeight w:val="215"/>
        </w:trPr>
        <w:tc>
          <w:tcPr>
            <w:tcW w:w="2296" w:type="dxa"/>
            <w:gridSpan w:val="3"/>
            <w:vMerge/>
            <w:vAlign w:val="center"/>
          </w:tcPr>
          <w:p w14:paraId="2BE63940" w14:textId="77777777" w:rsidR="005A11E4" w:rsidRPr="00350CD4" w:rsidRDefault="005A11E4" w:rsidP="00B71733">
            <w:pPr>
              <w:rPr>
                <w:rFonts w:asciiTheme="minorHAnsi" w:eastAsia="Calibri" w:hAnsiTheme="minorHAnsi" w:cstheme="minorHAnsi"/>
                <w:b/>
                <w:bCs/>
                <w:sz w:val="20"/>
                <w:szCs w:val="20"/>
                <w:lang w:eastAsia="sl-SI"/>
              </w:rPr>
            </w:pPr>
          </w:p>
        </w:tc>
        <w:tc>
          <w:tcPr>
            <w:tcW w:w="2421" w:type="dxa"/>
            <w:gridSpan w:val="4"/>
          </w:tcPr>
          <w:p w14:paraId="3A2F1B73" w14:textId="77777777" w:rsidR="005A11E4" w:rsidRPr="00350CD4" w:rsidRDefault="005A11E4" w:rsidP="00B71733">
            <w:pPr>
              <w:jc w:val="right"/>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C3CE464" w14:textId="58266DBC" w:rsidR="005A11E4" w:rsidRPr="00350CD4" w:rsidRDefault="00B1469E" w:rsidP="00B71733">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SLOVENSKI/SLOVENE</w:t>
            </w:r>
          </w:p>
        </w:tc>
      </w:tr>
      <w:tr w:rsidR="005A11E4" w:rsidRPr="00350CD4" w14:paraId="0BB418C6" w14:textId="77777777" w:rsidTr="0B44B878">
        <w:tc>
          <w:tcPr>
            <w:tcW w:w="4726" w:type="dxa"/>
            <w:gridSpan w:val="8"/>
            <w:tcBorders>
              <w:top w:val="nil"/>
              <w:left w:val="nil"/>
              <w:bottom w:val="single" w:sz="4" w:space="0" w:color="auto"/>
              <w:right w:val="nil"/>
            </w:tcBorders>
          </w:tcPr>
          <w:p w14:paraId="737B7541" w14:textId="77777777" w:rsidR="005A11E4" w:rsidRPr="00350CD4" w:rsidRDefault="005A11E4" w:rsidP="00B71733">
            <w:pPr>
              <w:rPr>
                <w:rFonts w:asciiTheme="minorHAnsi" w:eastAsia="Calibri" w:hAnsiTheme="minorHAnsi" w:cstheme="minorHAnsi"/>
                <w:b/>
                <w:bCs/>
                <w:sz w:val="20"/>
                <w:szCs w:val="20"/>
                <w:lang w:eastAsia="sl-SI"/>
              </w:rPr>
            </w:pPr>
          </w:p>
          <w:p w14:paraId="624E3213"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350CD4" w:rsidRDefault="005A11E4" w:rsidP="00B71733">
            <w:pPr>
              <w:rPr>
                <w:rFonts w:asciiTheme="minorHAnsi" w:eastAsia="Calibri" w:hAnsiTheme="minorHAnsi" w:cstheme="minorHAnsi"/>
                <w:b/>
                <w:sz w:val="20"/>
                <w:szCs w:val="20"/>
                <w:lang w:eastAsia="sl-SI"/>
              </w:rPr>
            </w:pPr>
          </w:p>
          <w:p w14:paraId="01D3BA6F" w14:textId="77777777" w:rsidR="005A11E4" w:rsidRPr="00350CD4" w:rsidRDefault="005A11E4" w:rsidP="00B71733">
            <w:pPr>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32A3E51B" w14:textId="77777777" w:rsidR="005A11E4" w:rsidRPr="00350CD4" w:rsidRDefault="005A11E4" w:rsidP="00B71733">
            <w:pPr>
              <w:rPr>
                <w:rFonts w:asciiTheme="minorHAnsi" w:eastAsia="Calibri" w:hAnsiTheme="minorHAnsi" w:cstheme="minorHAnsi"/>
                <w:b/>
                <w:sz w:val="20"/>
                <w:szCs w:val="20"/>
                <w:lang w:eastAsia="sl-SI"/>
              </w:rPr>
            </w:pPr>
          </w:p>
          <w:p w14:paraId="5498F9CD"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Prerequisites for enrolling in the course or for performing study obligations:</w:t>
            </w:r>
          </w:p>
        </w:tc>
      </w:tr>
      <w:tr w:rsidR="003C52BE" w:rsidRPr="003C52BE" w14:paraId="273ADA0E" w14:textId="77777777" w:rsidTr="0B44B878">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37A37BFD" w14:textId="62122925" w:rsidR="00350CD4" w:rsidRPr="003C52BE" w:rsidRDefault="00350CD4" w:rsidP="00242674">
            <w:pPr>
              <w:jc w:val="both"/>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5A11E4" w:rsidRPr="003C52BE" w:rsidRDefault="005A11E4" w:rsidP="00242674">
            <w:pPr>
              <w:jc w:val="both"/>
              <w:rPr>
                <w:rFonts w:asciiTheme="minorHAnsi" w:eastAsia="Calibri" w:hAnsiTheme="minorHAnsi" w:cstheme="minorHAnsi"/>
                <w:color w:val="000000" w:themeColor="text1"/>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8CBA30C" w14:textId="48D67BDC" w:rsidR="00350CD4" w:rsidRPr="003C52BE" w:rsidRDefault="00350CD4" w:rsidP="00242674">
            <w:pPr>
              <w:jc w:val="both"/>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Completion of assignments in e-lectures and e-seminars is a prerequisite for taking the exam.</w:t>
            </w:r>
          </w:p>
        </w:tc>
      </w:tr>
      <w:tr w:rsidR="005A11E4" w:rsidRPr="00350CD4" w14:paraId="32638BBD" w14:textId="77777777" w:rsidTr="0B44B878">
        <w:trPr>
          <w:trHeight w:val="137"/>
        </w:trPr>
        <w:tc>
          <w:tcPr>
            <w:tcW w:w="4717" w:type="dxa"/>
            <w:gridSpan w:val="7"/>
            <w:tcBorders>
              <w:top w:val="nil"/>
              <w:left w:val="nil"/>
              <w:bottom w:val="single" w:sz="4" w:space="0" w:color="auto"/>
              <w:right w:val="nil"/>
            </w:tcBorders>
          </w:tcPr>
          <w:p w14:paraId="17CC04A2" w14:textId="77777777" w:rsidR="005A11E4" w:rsidRPr="00350CD4" w:rsidRDefault="005A11E4" w:rsidP="00B71733">
            <w:pPr>
              <w:rPr>
                <w:rFonts w:asciiTheme="minorHAnsi" w:eastAsia="Calibri" w:hAnsiTheme="minorHAnsi" w:cstheme="minorHAnsi"/>
                <w:b/>
                <w:sz w:val="20"/>
                <w:szCs w:val="20"/>
                <w:lang w:eastAsia="sl-SI"/>
              </w:rPr>
            </w:pPr>
          </w:p>
          <w:p w14:paraId="08DA8183"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Vsebina (kratek pregled učnega načrta):</w:t>
            </w:r>
            <w:r w:rsidRPr="00350CD4">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1A73D15" w14:textId="77777777" w:rsidR="005A11E4" w:rsidRPr="00350CD4" w:rsidRDefault="005A11E4" w:rsidP="00B71733">
            <w:pPr>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47DF14D6" w14:textId="77777777" w:rsidR="005A11E4" w:rsidRPr="00350CD4" w:rsidRDefault="005A11E4" w:rsidP="00B71733">
            <w:pPr>
              <w:rPr>
                <w:rFonts w:asciiTheme="minorHAnsi" w:eastAsia="Calibri" w:hAnsiTheme="minorHAnsi" w:cstheme="minorHAnsi"/>
                <w:b/>
                <w:sz w:val="20"/>
                <w:szCs w:val="20"/>
                <w:lang w:eastAsia="sl-SI"/>
              </w:rPr>
            </w:pPr>
          </w:p>
          <w:p w14:paraId="542F3726"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Content (syllabus outline):</w:t>
            </w:r>
          </w:p>
        </w:tc>
      </w:tr>
      <w:tr w:rsidR="005A11E4" w:rsidRPr="00350CD4" w14:paraId="4EDFC7EE" w14:textId="77777777" w:rsidTr="0B44B878">
        <w:trPr>
          <w:trHeight w:val="1119"/>
        </w:trPr>
        <w:tc>
          <w:tcPr>
            <w:tcW w:w="4717" w:type="dxa"/>
            <w:gridSpan w:val="7"/>
            <w:tcBorders>
              <w:top w:val="single" w:sz="4" w:space="0" w:color="auto"/>
              <w:left w:val="single" w:sz="4" w:space="0" w:color="auto"/>
              <w:bottom w:val="single" w:sz="4" w:space="0" w:color="auto"/>
              <w:right w:val="single" w:sz="4" w:space="0" w:color="auto"/>
            </w:tcBorders>
          </w:tcPr>
          <w:p w14:paraId="73884167" w14:textId="77777777" w:rsidR="00462C0A"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Trajnostno podjetje in izzivi globaliziranega okolja.</w:t>
            </w:r>
          </w:p>
          <w:p w14:paraId="4D4204AD" w14:textId="77777777" w:rsidR="00462C0A"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 xml:space="preserve">Trajnostno </w:t>
            </w:r>
            <w:r w:rsidR="00F20BFD" w:rsidRPr="00350CD4">
              <w:rPr>
                <w:rFonts w:asciiTheme="minorHAnsi" w:hAnsiTheme="minorHAnsi" w:cstheme="minorHAnsi"/>
                <w:sz w:val="20"/>
                <w:szCs w:val="20"/>
              </w:rPr>
              <w:t>p</w:t>
            </w:r>
            <w:r w:rsidRPr="00350CD4">
              <w:rPr>
                <w:rFonts w:asciiTheme="minorHAnsi" w:eastAsiaTheme="minorEastAsia" w:hAnsiTheme="minorHAnsi" w:cstheme="minorHAnsi"/>
                <w:sz w:val="20"/>
                <w:szCs w:val="20"/>
              </w:rPr>
              <w:t>odjetništvo</w:t>
            </w:r>
            <w:r w:rsidR="00F20BFD" w:rsidRPr="00350CD4">
              <w:rPr>
                <w:rFonts w:asciiTheme="minorHAnsi" w:hAnsiTheme="minorHAnsi" w:cstheme="minorHAnsi"/>
                <w:sz w:val="20"/>
                <w:szCs w:val="20"/>
              </w:rPr>
              <w:t xml:space="preserve"> in faze ustanovitve trajnostnega podjetja.</w:t>
            </w:r>
          </w:p>
          <w:p w14:paraId="78BA4F37" w14:textId="77777777" w:rsidR="00462C0A"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Osnove poslovanja trajnostnega podjetja.</w:t>
            </w:r>
          </w:p>
          <w:p w14:paraId="1E7DE02D" w14:textId="77777777" w:rsidR="00F20BFD"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Trajnostni management in trajnostno voditeljstvo.</w:t>
            </w:r>
          </w:p>
          <w:p w14:paraId="5E0DE71A" w14:textId="224DE48B" w:rsidR="00462C0A" w:rsidRPr="00350CD4" w:rsidRDefault="00F20BFD" w:rsidP="003C52BE">
            <w:pPr>
              <w:numPr>
                <w:ilvl w:val="0"/>
                <w:numId w:val="16"/>
              </w:numPr>
              <w:jc w:val="both"/>
              <w:rPr>
                <w:rFonts w:asciiTheme="minorHAnsi" w:hAnsiTheme="minorHAnsi" w:cstheme="minorHAnsi"/>
                <w:sz w:val="20"/>
                <w:szCs w:val="20"/>
              </w:rPr>
            </w:pPr>
            <w:r w:rsidRPr="00350CD4">
              <w:rPr>
                <w:rFonts w:asciiTheme="minorHAnsi" w:hAnsiTheme="minorHAnsi" w:cstheme="minorHAnsi"/>
                <w:sz w:val="20"/>
                <w:szCs w:val="20"/>
              </w:rPr>
              <w:t>P</w:t>
            </w:r>
            <w:r w:rsidRPr="00350CD4">
              <w:rPr>
                <w:rFonts w:asciiTheme="minorHAnsi" w:eastAsiaTheme="minorEastAsia" w:hAnsiTheme="minorHAnsi" w:cstheme="minorHAnsi"/>
                <w:sz w:val="20"/>
                <w:szCs w:val="20"/>
              </w:rPr>
              <w:t>oslovna načela in poslovanje logističnih podjetij</w:t>
            </w:r>
            <w:r w:rsidR="003C52BE">
              <w:rPr>
                <w:rFonts w:asciiTheme="minorHAnsi" w:eastAsiaTheme="minorEastAsia" w:hAnsiTheme="minorHAnsi" w:cstheme="minorHAnsi"/>
                <w:sz w:val="20"/>
                <w:szCs w:val="20"/>
              </w:rPr>
              <w:t>.</w:t>
            </w:r>
          </w:p>
          <w:p w14:paraId="5667B898" w14:textId="77777777" w:rsidR="00462C0A"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Model trajnostnega upravljanja in vodenja organizacije.</w:t>
            </w:r>
          </w:p>
          <w:p w14:paraId="64218B7D" w14:textId="77777777" w:rsidR="00F20BFD"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 xml:space="preserve">Trajnostna uspešnost podjetja. </w:t>
            </w:r>
          </w:p>
          <w:p w14:paraId="75F1264E" w14:textId="77777777" w:rsidR="00462C0A" w:rsidRPr="00350CD4" w:rsidRDefault="00306BA1" w:rsidP="003C52BE">
            <w:pPr>
              <w:numPr>
                <w:ilvl w:val="0"/>
                <w:numId w:val="16"/>
              </w:numPr>
              <w:jc w:val="both"/>
              <w:rPr>
                <w:rFonts w:asciiTheme="minorHAnsi" w:hAnsiTheme="minorHAnsi" w:cstheme="minorHAnsi"/>
                <w:sz w:val="20"/>
                <w:szCs w:val="20"/>
              </w:rPr>
            </w:pPr>
            <w:r w:rsidRPr="00350CD4">
              <w:rPr>
                <w:rFonts w:asciiTheme="minorHAnsi" w:eastAsiaTheme="minorEastAsia" w:hAnsiTheme="minorHAnsi" w:cstheme="minorHAnsi"/>
                <w:sz w:val="20"/>
                <w:szCs w:val="20"/>
              </w:rPr>
              <w:t>uvajanje načel trajnostnega razvoja v poslovanje logističnih podjetij</w:t>
            </w:r>
            <w:r w:rsidR="00F20BFD" w:rsidRPr="00350CD4">
              <w:rPr>
                <w:rFonts w:asciiTheme="minorHAnsi" w:hAnsiTheme="minorHAnsi" w:cstheme="minorHAnsi"/>
                <w:sz w:val="20"/>
                <w:szCs w:val="20"/>
              </w:rPr>
              <w:t xml:space="preserve"> </w:t>
            </w:r>
            <w:r w:rsidRPr="00350CD4">
              <w:rPr>
                <w:rFonts w:asciiTheme="minorHAnsi" w:eastAsiaTheme="minorEastAsia" w:hAnsiTheme="minorHAnsi" w:cstheme="minorHAnsi"/>
                <w:sz w:val="20"/>
                <w:szCs w:val="20"/>
              </w:rPr>
              <w:t>in iskanje poslovnih priložnosti v zeleni logistiki. </w:t>
            </w:r>
          </w:p>
          <w:p w14:paraId="625112B6" w14:textId="08A673B9" w:rsidR="00F20BFD" w:rsidRPr="00350CD4" w:rsidRDefault="00F20BFD" w:rsidP="003C52BE">
            <w:pPr>
              <w:pStyle w:val="Default"/>
              <w:autoSpaceDE/>
              <w:autoSpaceDN/>
              <w:adjustRightInd/>
              <w:ind w:left="360"/>
              <w:jc w:val="both"/>
              <w:rPr>
                <w:rFonts w:asciiTheme="minorHAnsi" w:hAnsiTheme="minorHAnsi" w:cstheme="minorHAnsi"/>
                <w:color w:val="auto"/>
                <w:sz w:val="20"/>
                <w:szCs w:val="20"/>
              </w:rPr>
            </w:pPr>
          </w:p>
        </w:tc>
        <w:tc>
          <w:tcPr>
            <w:tcW w:w="152" w:type="dxa"/>
            <w:gridSpan w:val="2"/>
            <w:tcBorders>
              <w:top w:val="single" w:sz="4" w:space="0" w:color="auto"/>
              <w:left w:val="single" w:sz="4" w:space="0" w:color="auto"/>
              <w:right w:val="single" w:sz="4" w:space="0" w:color="auto"/>
            </w:tcBorders>
          </w:tcPr>
          <w:p w14:paraId="5B47B472" w14:textId="77777777" w:rsidR="005A11E4" w:rsidRPr="00350CD4" w:rsidRDefault="005A11E4" w:rsidP="003C52BE">
            <w:pPr>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5B8807B" w14:textId="0A77A263"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Sustainable company and the challenges of the globalized environment.</w:t>
            </w:r>
          </w:p>
          <w:p w14:paraId="6225A89A" w14:textId="726FDE0F"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Sustainable entrepreneurship and the stages of establishing a sustainable company.</w:t>
            </w:r>
          </w:p>
          <w:p w14:paraId="59C20571" w14:textId="41781ADF"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Business basics of a sustainable company.</w:t>
            </w:r>
          </w:p>
          <w:p w14:paraId="0357B6AB" w14:textId="52533234"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Sustainable management and sustainable leadership.</w:t>
            </w:r>
          </w:p>
          <w:p w14:paraId="57075FD6" w14:textId="21457AD8"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Business principles and operations of logistics companies</w:t>
            </w:r>
            <w:r w:rsidR="003C52BE">
              <w:rPr>
                <w:rFonts w:asciiTheme="minorHAnsi" w:eastAsiaTheme="minorEastAsia" w:hAnsiTheme="minorHAnsi" w:cstheme="minorHAnsi"/>
                <w:color w:val="auto"/>
                <w:sz w:val="20"/>
                <w:szCs w:val="20"/>
                <w:lang w:eastAsia="en-US"/>
              </w:rPr>
              <w:t>.</w:t>
            </w:r>
          </w:p>
          <w:p w14:paraId="50F48AE7" w14:textId="168BD78F"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Model of sustainable management and management of the organization.</w:t>
            </w:r>
          </w:p>
          <w:p w14:paraId="5081AAEA" w14:textId="648DB522" w:rsidR="00036144" w:rsidRPr="00350CD4" w:rsidRDefault="00036144" w:rsidP="003C52BE">
            <w:pPr>
              <w:pStyle w:val="Default"/>
              <w:numPr>
                <w:ilvl w:val="0"/>
                <w:numId w:val="16"/>
              </w:numPr>
              <w:jc w:val="both"/>
              <w:rPr>
                <w:rFonts w:asciiTheme="minorHAnsi" w:eastAsiaTheme="minorEastAsia" w:hAnsiTheme="minorHAnsi" w:cstheme="minorHAnsi"/>
                <w:color w:val="auto"/>
                <w:sz w:val="20"/>
                <w:szCs w:val="20"/>
                <w:lang w:eastAsia="en-US"/>
              </w:rPr>
            </w:pPr>
            <w:r w:rsidRPr="00350CD4">
              <w:rPr>
                <w:rFonts w:asciiTheme="minorHAnsi" w:eastAsiaTheme="minorEastAsia" w:hAnsiTheme="minorHAnsi" w:cstheme="minorHAnsi"/>
                <w:color w:val="auto"/>
                <w:sz w:val="20"/>
                <w:szCs w:val="20"/>
                <w:lang w:eastAsia="en-US"/>
              </w:rPr>
              <w:t>Sustainable performance of the company.</w:t>
            </w:r>
          </w:p>
          <w:p w14:paraId="68E25B91" w14:textId="3CEC90F9" w:rsidR="00036144" w:rsidRPr="00350CD4" w:rsidRDefault="00036144" w:rsidP="003C52BE">
            <w:pPr>
              <w:pStyle w:val="Default"/>
              <w:numPr>
                <w:ilvl w:val="0"/>
                <w:numId w:val="16"/>
              </w:numPr>
              <w:jc w:val="both"/>
              <w:rPr>
                <w:rFonts w:asciiTheme="minorHAnsi" w:hAnsiTheme="minorHAnsi" w:cstheme="minorHAnsi"/>
                <w:b/>
                <w:color w:val="auto"/>
                <w:sz w:val="20"/>
                <w:szCs w:val="20"/>
              </w:rPr>
            </w:pPr>
            <w:r w:rsidRPr="00350CD4">
              <w:rPr>
                <w:rFonts w:asciiTheme="minorHAnsi" w:eastAsiaTheme="minorEastAsia" w:hAnsiTheme="minorHAnsi" w:cstheme="minorHAnsi"/>
                <w:color w:val="auto"/>
                <w:sz w:val="20"/>
                <w:szCs w:val="20"/>
                <w:lang w:eastAsia="en-US"/>
              </w:rPr>
              <w:t>introducing the principles of sustainable development into the operations of logistics companies and finding business opportunities in green logistics.</w:t>
            </w:r>
          </w:p>
        </w:tc>
      </w:tr>
    </w:tbl>
    <w:p w14:paraId="1F4A0355" w14:textId="77777777" w:rsidR="003C52BE" w:rsidRDefault="003C52BE">
      <w:r>
        <w:br w:type="page"/>
      </w:r>
    </w:p>
    <w:tbl>
      <w:tblPr>
        <w:tblW w:w="9690" w:type="dxa"/>
        <w:tblInd w:w="5" w:type="dxa"/>
        <w:tblLayout w:type="fixed"/>
        <w:tblCellMar>
          <w:left w:w="56" w:type="dxa"/>
          <w:right w:w="56" w:type="dxa"/>
        </w:tblCellMar>
        <w:tblLook w:val="00A0" w:firstRow="1" w:lastRow="0" w:firstColumn="1" w:lastColumn="0" w:noHBand="0" w:noVBand="0"/>
      </w:tblPr>
      <w:tblGrid>
        <w:gridCol w:w="4018"/>
        <w:gridCol w:w="699"/>
        <w:gridCol w:w="9"/>
        <w:gridCol w:w="143"/>
        <w:gridCol w:w="709"/>
        <w:gridCol w:w="4112"/>
      </w:tblGrid>
      <w:tr w:rsidR="005A11E4" w:rsidRPr="00350CD4" w14:paraId="50F6CFCC" w14:textId="77777777" w:rsidTr="003C52BE">
        <w:tc>
          <w:tcPr>
            <w:tcW w:w="9690" w:type="dxa"/>
            <w:gridSpan w:val="6"/>
            <w:tcBorders>
              <w:bottom w:val="single" w:sz="4" w:space="0" w:color="auto"/>
            </w:tcBorders>
          </w:tcPr>
          <w:p w14:paraId="4C4D6A60" w14:textId="756EA300" w:rsidR="005A11E4" w:rsidRPr="00350CD4" w:rsidRDefault="005A11E4" w:rsidP="003C52BE">
            <w:pPr>
              <w:jc w:val="both"/>
              <w:rPr>
                <w:rFonts w:asciiTheme="minorHAnsi" w:eastAsia="Calibri" w:hAnsiTheme="minorHAnsi" w:cstheme="minorHAnsi"/>
                <w:b/>
                <w:sz w:val="20"/>
                <w:szCs w:val="20"/>
                <w:lang w:eastAsia="sl-SI"/>
              </w:rPr>
            </w:pPr>
            <w:r w:rsidRPr="00350CD4">
              <w:rPr>
                <w:rFonts w:asciiTheme="minorHAnsi" w:eastAsia="Calibri" w:hAnsiTheme="minorHAnsi" w:cstheme="minorHAnsi"/>
                <w:sz w:val="20"/>
                <w:szCs w:val="20"/>
                <w:lang w:eastAsia="sl-SI"/>
              </w:rPr>
              <w:lastRenderedPageBreak/>
              <w:br w:type="page"/>
            </w:r>
            <w:r w:rsidRPr="00350CD4">
              <w:rPr>
                <w:rFonts w:asciiTheme="minorHAnsi" w:eastAsia="Calibri" w:hAnsiTheme="minorHAnsi" w:cstheme="minorHAnsi"/>
                <w:b/>
                <w:sz w:val="20"/>
                <w:szCs w:val="20"/>
                <w:lang w:eastAsia="sl-SI"/>
              </w:rPr>
              <w:t>Temeljni literatura in viri / Reading materials:</w:t>
            </w:r>
          </w:p>
        </w:tc>
      </w:tr>
      <w:tr w:rsidR="00E638E3" w:rsidRPr="00350CD4" w14:paraId="166E7B56" w14:textId="77777777" w:rsidTr="003C52BE">
        <w:trPr>
          <w:trHeight w:val="1198"/>
        </w:trPr>
        <w:tc>
          <w:tcPr>
            <w:tcW w:w="9690" w:type="dxa"/>
            <w:gridSpan w:val="6"/>
            <w:tcBorders>
              <w:top w:val="single" w:sz="4" w:space="0" w:color="auto"/>
              <w:left w:val="single" w:sz="4" w:space="0" w:color="auto"/>
              <w:bottom w:val="single" w:sz="4" w:space="0" w:color="auto"/>
              <w:right w:val="single" w:sz="4" w:space="0" w:color="auto"/>
            </w:tcBorders>
          </w:tcPr>
          <w:p w14:paraId="113D0182" w14:textId="77777777" w:rsidR="00E638E3"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 xml:space="preserve">Muneer, T., Kolhe, M. L. &amp; Doyle, A. (Eds.). (2017). </w:t>
            </w:r>
            <w:r w:rsidRPr="00350CD4">
              <w:rPr>
                <w:rFonts w:asciiTheme="minorHAnsi" w:hAnsiTheme="minorHAnsi" w:cstheme="minorHAnsi"/>
                <w:i/>
                <w:iCs/>
                <w:sz w:val="20"/>
                <w:szCs w:val="20"/>
                <w:lang w:eastAsia="sl-SI"/>
              </w:rPr>
              <w:t>Electric vehicles: prospects and challenges</w:t>
            </w:r>
            <w:r w:rsidRPr="00350CD4">
              <w:rPr>
                <w:rFonts w:asciiTheme="minorHAnsi" w:hAnsiTheme="minorHAnsi" w:cstheme="minorHAnsi"/>
                <w:sz w:val="20"/>
                <w:szCs w:val="20"/>
                <w:lang w:eastAsia="sl-SI"/>
              </w:rPr>
              <w:t>. Elsevier.</w:t>
            </w:r>
          </w:p>
          <w:p w14:paraId="1056ABAF" w14:textId="77777777" w:rsid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McKinnon, A., Browne, M. &amp; Whiteing, A. (Eds.). (2012).</w:t>
            </w:r>
            <w:r w:rsidRPr="00350CD4">
              <w:rPr>
                <w:rFonts w:asciiTheme="minorHAnsi" w:hAnsiTheme="minorHAnsi" w:cstheme="minorHAnsi"/>
                <w:i/>
                <w:iCs/>
                <w:sz w:val="20"/>
                <w:szCs w:val="20"/>
                <w:lang w:eastAsia="sl-SI"/>
              </w:rPr>
              <w:t xml:space="preserve"> Green logistics: improving the environmental sustainability of logistics</w:t>
            </w:r>
            <w:r w:rsidRPr="00350CD4">
              <w:rPr>
                <w:rFonts w:asciiTheme="minorHAnsi" w:hAnsiTheme="minorHAnsi" w:cstheme="minorHAnsi"/>
                <w:sz w:val="20"/>
                <w:szCs w:val="20"/>
                <w:lang w:eastAsia="sl-SI"/>
              </w:rPr>
              <w:t> (2nd ed.).  Kogan Page.</w:t>
            </w:r>
          </w:p>
          <w:p w14:paraId="5E4BA8DA" w14:textId="3033D43D" w:rsid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Makower, J. (2009). </w:t>
            </w:r>
            <w:r w:rsidRPr="00350CD4">
              <w:rPr>
                <w:rFonts w:asciiTheme="minorHAnsi" w:hAnsiTheme="minorHAnsi" w:cstheme="minorHAnsi"/>
                <w:i/>
                <w:iCs/>
                <w:sz w:val="20"/>
                <w:szCs w:val="20"/>
                <w:lang w:eastAsia="sl-SI"/>
              </w:rPr>
              <w:t>Strategies for green economy: opportunities and challenges in the new world of business</w:t>
            </w:r>
            <w:r w:rsidRPr="00350CD4">
              <w:rPr>
                <w:rFonts w:asciiTheme="minorHAnsi" w:hAnsiTheme="minorHAnsi" w:cstheme="minorHAnsi"/>
                <w:sz w:val="20"/>
                <w:szCs w:val="20"/>
                <w:lang w:eastAsia="sl-SI"/>
              </w:rPr>
              <w:t>. McGraw Hill.</w:t>
            </w:r>
          </w:p>
          <w:p w14:paraId="4F61F99B" w14:textId="29442EF8" w:rsid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MacKinnon, D., Shaw, J., &amp; Docherty, I. (2008). </w:t>
            </w:r>
            <w:r w:rsidRPr="00350CD4">
              <w:rPr>
                <w:rFonts w:asciiTheme="minorHAnsi" w:hAnsiTheme="minorHAnsi" w:cstheme="minorHAnsi"/>
                <w:i/>
                <w:iCs/>
                <w:sz w:val="20"/>
                <w:szCs w:val="20"/>
                <w:lang w:eastAsia="sl-SI"/>
              </w:rPr>
              <w:t>Diverging mobilities?: devolution, transport and policy innovation</w:t>
            </w:r>
            <w:r w:rsidRPr="00350CD4">
              <w:rPr>
                <w:rFonts w:asciiTheme="minorHAnsi" w:hAnsiTheme="minorHAnsi" w:cstheme="minorHAnsi"/>
                <w:sz w:val="20"/>
                <w:szCs w:val="20"/>
                <w:lang w:eastAsia="sl-SI"/>
              </w:rPr>
              <w:t> (1st ed.). Elsevier.</w:t>
            </w:r>
          </w:p>
          <w:p w14:paraId="4473CB1F" w14:textId="4B5D8789" w:rsid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Esty, D. C., &amp; Winston, A. S. (2009). </w:t>
            </w:r>
            <w:r w:rsidRPr="00350CD4">
              <w:rPr>
                <w:rFonts w:asciiTheme="minorHAnsi" w:hAnsiTheme="minorHAnsi" w:cstheme="minorHAnsi"/>
                <w:i/>
                <w:iCs/>
                <w:sz w:val="20"/>
                <w:szCs w:val="20"/>
                <w:lang w:eastAsia="sl-SI"/>
              </w:rPr>
              <w:t>Green to gold: how smart companies use environmental strategy to innovate, create value and build competitive advantage</w:t>
            </w:r>
            <w:r w:rsidRPr="00350CD4">
              <w:rPr>
                <w:rFonts w:asciiTheme="minorHAnsi" w:hAnsiTheme="minorHAnsi" w:cstheme="minorHAnsi"/>
                <w:sz w:val="20"/>
                <w:szCs w:val="20"/>
                <w:lang w:eastAsia="sl-SI"/>
              </w:rPr>
              <w:t> (Revised and updated). J. Wiley &amp; sons.</w:t>
            </w:r>
          </w:p>
          <w:p w14:paraId="5E257FB7" w14:textId="385519CD" w:rsid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Cetinkaya, B., Cuthbertson, R., Ewer, G., Klass-Wissing, T., Piotrowicz, W. &amp; Tyssen, C. (2011). </w:t>
            </w:r>
            <w:r w:rsidRPr="00350CD4">
              <w:rPr>
                <w:rFonts w:asciiTheme="minorHAnsi" w:hAnsiTheme="minorHAnsi" w:cstheme="minorHAnsi"/>
                <w:i/>
                <w:iCs/>
                <w:sz w:val="20"/>
                <w:szCs w:val="20"/>
                <w:lang w:eastAsia="sl-SI"/>
              </w:rPr>
              <w:t>Sustainable supply chain management: practical ideas for moving towards best practice</w:t>
            </w:r>
            <w:r w:rsidRPr="00350CD4">
              <w:rPr>
                <w:rFonts w:asciiTheme="minorHAnsi" w:hAnsiTheme="minorHAnsi" w:cstheme="minorHAnsi"/>
                <w:sz w:val="20"/>
                <w:szCs w:val="20"/>
                <w:lang w:eastAsia="sl-SI"/>
              </w:rPr>
              <w:t>. Springer.</w:t>
            </w:r>
          </w:p>
          <w:p w14:paraId="184E7F18" w14:textId="5B02FA6E" w:rsidR="00350CD4" w:rsidRPr="00350CD4" w:rsidRDefault="00350CD4" w:rsidP="00E638E3">
            <w:pPr>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Wang, H.-F., &amp; Gupta, S. M. (2011). </w:t>
            </w:r>
            <w:r w:rsidRPr="00350CD4">
              <w:rPr>
                <w:rFonts w:asciiTheme="minorHAnsi" w:hAnsiTheme="minorHAnsi" w:cstheme="minorHAnsi"/>
                <w:i/>
                <w:iCs/>
                <w:sz w:val="20"/>
                <w:szCs w:val="20"/>
                <w:lang w:eastAsia="sl-SI"/>
              </w:rPr>
              <w:t>Green supply chain: product life cycle approach</w:t>
            </w:r>
            <w:r w:rsidRPr="00350CD4">
              <w:rPr>
                <w:rFonts w:asciiTheme="minorHAnsi" w:hAnsiTheme="minorHAnsi" w:cstheme="minorHAnsi"/>
                <w:sz w:val="20"/>
                <w:szCs w:val="20"/>
                <w:lang w:eastAsia="sl-SI"/>
              </w:rPr>
              <w:t>. McGraw Hill.</w:t>
            </w:r>
          </w:p>
        </w:tc>
      </w:tr>
      <w:tr w:rsidR="00E638E3" w:rsidRPr="00350CD4" w14:paraId="17101D27" w14:textId="77777777" w:rsidTr="003C52BE">
        <w:trPr>
          <w:trHeight w:val="73"/>
        </w:trPr>
        <w:tc>
          <w:tcPr>
            <w:tcW w:w="4717" w:type="dxa"/>
            <w:gridSpan w:val="2"/>
            <w:tcBorders>
              <w:top w:val="single" w:sz="4" w:space="0" w:color="auto"/>
              <w:left w:val="nil"/>
              <w:bottom w:val="single" w:sz="4" w:space="0" w:color="auto"/>
              <w:right w:val="nil"/>
            </w:tcBorders>
          </w:tcPr>
          <w:p w14:paraId="277E4DE3" w14:textId="77777777" w:rsidR="00E638E3" w:rsidRPr="00350CD4" w:rsidRDefault="00E638E3" w:rsidP="00E638E3">
            <w:pPr>
              <w:rPr>
                <w:rFonts w:asciiTheme="minorHAnsi" w:eastAsia="Calibri" w:hAnsiTheme="minorHAnsi" w:cstheme="minorHAnsi"/>
                <w:b/>
                <w:bCs/>
                <w:sz w:val="20"/>
                <w:szCs w:val="20"/>
                <w:lang w:eastAsia="sl-SI"/>
              </w:rPr>
            </w:pPr>
          </w:p>
          <w:p w14:paraId="337EC76C"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E638E3" w:rsidRPr="00350CD4" w:rsidRDefault="00E638E3" w:rsidP="00E638E3">
            <w:pPr>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40427E4C" w14:textId="77777777" w:rsidR="00E638E3" w:rsidRPr="00350CD4" w:rsidRDefault="00E638E3" w:rsidP="00E638E3">
            <w:pPr>
              <w:rPr>
                <w:rFonts w:asciiTheme="minorHAnsi" w:eastAsia="Calibri" w:hAnsiTheme="minorHAnsi" w:cstheme="minorHAnsi"/>
                <w:b/>
                <w:sz w:val="20"/>
                <w:szCs w:val="20"/>
                <w:lang w:eastAsia="sl-SI"/>
              </w:rPr>
            </w:pPr>
          </w:p>
          <w:p w14:paraId="51F3F523"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val="en-GB" w:eastAsia="sl-SI"/>
              </w:rPr>
              <w:t>Objectives and competences</w:t>
            </w:r>
            <w:r w:rsidRPr="00350CD4">
              <w:rPr>
                <w:rFonts w:asciiTheme="minorHAnsi" w:eastAsia="Calibri" w:hAnsiTheme="minorHAnsi" w:cstheme="minorHAnsi"/>
                <w:b/>
                <w:sz w:val="20"/>
                <w:szCs w:val="20"/>
                <w:lang w:eastAsia="sl-SI"/>
              </w:rPr>
              <w:t>:</w:t>
            </w:r>
          </w:p>
        </w:tc>
      </w:tr>
      <w:tr w:rsidR="00E638E3" w:rsidRPr="00350CD4" w14:paraId="572FDB32" w14:textId="77777777" w:rsidTr="003C52BE">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7619F3B3" w14:textId="1627094C" w:rsidR="00E638E3" w:rsidRPr="00350CD4" w:rsidRDefault="00E638E3" w:rsidP="003C52BE">
            <w:pPr>
              <w:autoSpaceDE w:val="0"/>
              <w:autoSpaceDN w:val="0"/>
              <w:adjustRightInd w:val="0"/>
              <w:jc w:val="both"/>
              <w:rPr>
                <w:rFonts w:asciiTheme="minorHAnsi" w:hAnsiTheme="minorHAnsi" w:cstheme="minorHAnsi"/>
                <w:sz w:val="20"/>
                <w:szCs w:val="20"/>
                <w:lang w:eastAsia="sl-SI"/>
              </w:rPr>
            </w:pPr>
            <w:r w:rsidRPr="00350CD4">
              <w:rPr>
                <w:rFonts w:asciiTheme="minorHAnsi" w:hAnsiTheme="minorHAnsi" w:cstheme="minorHAnsi"/>
                <w:sz w:val="20"/>
                <w:szCs w:val="20"/>
                <w:lang w:eastAsia="sl-SI"/>
              </w:rPr>
              <w:t xml:space="preserve">Študenti pri tem predmetu: </w:t>
            </w:r>
          </w:p>
          <w:p w14:paraId="7D2799D9" w14:textId="1C4E3DE8" w:rsidR="000F03D7" w:rsidRPr="00350CD4" w:rsidRDefault="000F03D7" w:rsidP="003C52BE">
            <w:pPr>
              <w:autoSpaceDE w:val="0"/>
              <w:autoSpaceDN w:val="0"/>
              <w:adjustRightInd w:val="0"/>
              <w:jc w:val="both"/>
              <w:rPr>
                <w:rFonts w:asciiTheme="minorHAnsi" w:hAnsiTheme="minorHAnsi" w:cstheme="minorHAnsi"/>
                <w:b/>
                <w:sz w:val="20"/>
                <w:szCs w:val="20"/>
                <w:lang w:eastAsia="sl-SI"/>
              </w:rPr>
            </w:pPr>
            <w:r w:rsidRPr="00350CD4">
              <w:rPr>
                <w:rFonts w:asciiTheme="minorHAnsi" w:hAnsiTheme="minorHAnsi" w:cstheme="minorHAnsi"/>
                <w:sz w:val="20"/>
                <w:szCs w:val="20"/>
                <w:lang w:eastAsia="sl-SI"/>
              </w:rPr>
              <w:t>Cilji:</w:t>
            </w:r>
          </w:p>
          <w:p w14:paraId="73460BF2" w14:textId="77777777" w:rsidR="000F03D7" w:rsidRPr="00350CD4" w:rsidRDefault="000F03D7" w:rsidP="003C52BE">
            <w:pPr>
              <w:pStyle w:val="paragraph"/>
              <w:numPr>
                <w:ilvl w:val="0"/>
                <w:numId w:val="17"/>
              </w:numPr>
              <w:spacing w:before="0" w:beforeAutospacing="0" w:after="0" w:afterAutospacing="0"/>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utrdijo in nadgradijo teoretično znanje na področju trajnostnih poslovnih načel in procesov,</w:t>
            </w:r>
            <w:r w:rsidRPr="00350CD4">
              <w:rPr>
                <w:rStyle w:val="eop"/>
                <w:rFonts w:asciiTheme="minorHAnsi" w:hAnsiTheme="minorHAnsi" w:cstheme="minorHAnsi"/>
                <w:sz w:val="20"/>
                <w:szCs w:val="20"/>
              </w:rPr>
              <w:t> </w:t>
            </w:r>
          </w:p>
          <w:p w14:paraId="61453554" w14:textId="77777777" w:rsidR="000F03D7" w:rsidRPr="00350CD4" w:rsidRDefault="000F03D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se usposobijo uporabljati teoretično znanje s področja poslovanja trajnostnih logističnih podjetij, </w:t>
            </w:r>
          </w:p>
          <w:p w14:paraId="371BBF71" w14:textId="77777777" w:rsidR="000F03D7" w:rsidRPr="00350CD4" w:rsidRDefault="000F03D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spoznajo orodja za pripravo poslovnih načrtov, </w:t>
            </w:r>
          </w:p>
          <w:p w14:paraId="3E8C296B" w14:textId="77777777" w:rsidR="000F03D7" w:rsidRPr="00350CD4" w:rsidRDefault="000F03D7" w:rsidP="003C52BE">
            <w:pPr>
              <w:pStyle w:val="paragraph"/>
              <w:numPr>
                <w:ilvl w:val="0"/>
                <w:numId w:val="17"/>
              </w:numPr>
              <w:spacing w:before="0" w:beforeAutospacing="0" w:after="0" w:afterAutospacing="0"/>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spoznajo integracijo načel  trajnostnega razvoja, krožnega gospodarstva in deljene ekonomije v poslovanje logističnih podjetij,</w:t>
            </w:r>
            <w:r w:rsidRPr="00350CD4">
              <w:rPr>
                <w:rStyle w:val="eop"/>
                <w:rFonts w:asciiTheme="minorHAnsi" w:hAnsiTheme="minorHAnsi" w:cstheme="minorHAnsi"/>
                <w:sz w:val="20"/>
                <w:szCs w:val="20"/>
              </w:rPr>
              <w:t> </w:t>
            </w:r>
          </w:p>
          <w:p w14:paraId="221DBFC5" w14:textId="77777777" w:rsidR="000F03D7" w:rsidRPr="00350CD4" w:rsidRDefault="000F03D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se usposobijo za razvoj trajnostnih organizacijskih politik, v upravljanje podjetij in oskrbovalnih verig. </w:t>
            </w:r>
          </w:p>
          <w:p w14:paraId="69E85EB4" w14:textId="77777777" w:rsidR="00CB7916" w:rsidRPr="00350CD4" w:rsidRDefault="00CB7916" w:rsidP="003C52BE">
            <w:pPr>
              <w:jc w:val="both"/>
              <w:rPr>
                <w:rFonts w:asciiTheme="minorHAnsi" w:hAnsiTheme="minorHAnsi" w:cstheme="minorHAnsi"/>
                <w:b/>
                <w:sz w:val="20"/>
                <w:szCs w:val="20"/>
              </w:rPr>
            </w:pPr>
          </w:p>
          <w:p w14:paraId="204C77F9" w14:textId="29B3966C" w:rsidR="000F03D7" w:rsidRPr="00350CD4" w:rsidRDefault="000F03D7" w:rsidP="003C52BE">
            <w:pPr>
              <w:jc w:val="both"/>
              <w:rPr>
                <w:rFonts w:asciiTheme="minorHAnsi" w:hAnsiTheme="minorHAnsi" w:cstheme="minorHAnsi"/>
                <w:b/>
                <w:sz w:val="20"/>
                <w:szCs w:val="20"/>
              </w:rPr>
            </w:pPr>
            <w:r w:rsidRPr="00350CD4">
              <w:rPr>
                <w:rFonts w:asciiTheme="minorHAnsi" w:hAnsiTheme="minorHAnsi" w:cstheme="minorHAnsi"/>
                <w:b/>
                <w:sz w:val="20"/>
                <w:szCs w:val="20"/>
              </w:rPr>
              <w:t>Kompetence:</w:t>
            </w:r>
          </w:p>
          <w:p w14:paraId="141A06B8" w14:textId="05A151B8"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Pridobijo razumevanje za kritično analizo procesov v podjetju.</w:t>
            </w:r>
          </w:p>
          <w:p w14:paraId="45808D7F"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Pridobijo razumevanje procesnega razmišljanja ob upoštevanju osnovnih trajnostnih usmeritev.  </w:t>
            </w:r>
          </w:p>
          <w:p w14:paraId="6FC11401"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Pridobijo sposobnost iskanja in sinteze novih informacij s področja trajnostnega poslovanja, v literaturi in praksi.  </w:t>
            </w:r>
          </w:p>
          <w:p w14:paraId="5D296685"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Se naučijo povezovanja različnih znanj in postopkov ter pomena uporabe strokovne literature o trajnostnem delovanju, poslovnih priložnosti in poslovnih načrtov. </w:t>
            </w:r>
          </w:p>
          <w:p w14:paraId="184ED569"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Znajo identificirati problem skozi prizmo trajnostnega delovanja ter podati izboljšave oz. rešitve zanj in pridobijo praktične izkušnje na področju delovanja trajnostnih podjetij.</w:t>
            </w:r>
          </w:p>
          <w:p w14:paraId="235DCF80"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Nadgrajujejo sposobnost uporabe informacijske tehnologije, dela v skupinah in samostojnega učenja.  </w:t>
            </w:r>
          </w:p>
          <w:p w14:paraId="60EE175F" w14:textId="77777777" w:rsidR="00352DC7" w:rsidRPr="00350CD4" w:rsidRDefault="00352DC7" w:rsidP="003C52BE">
            <w:pPr>
              <w:pStyle w:val="paragraph"/>
              <w:numPr>
                <w:ilvl w:val="0"/>
                <w:numId w:val="17"/>
              </w:numPr>
              <w:spacing w:before="0" w:beforeAutospacing="0" w:after="0" w:afterAutospacing="0"/>
              <w:jc w:val="both"/>
              <w:textAlignment w:val="baseline"/>
              <w:rPr>
                <w:rStyle w:val="normaltextrun"/>
                <w:rFonts w:asciiTheme="minorHAnsi" w:hAnsiTheme="minorHAnsi" w:cstheme="minorHAnsi"/>
                <w:sz w:val="20"/>
                <w:szCs w:val="20"/>
              </w:rPr>
            </w:pPr>
            <w:r w:rsidRPr="00350CD4">
              <w:rPr>
                <w:rStyle w:val="normaltextrun"/>
                <w:rFonts w:asciiTheme="minorHAnsi" w:hAnsiTheme="minorHAnsi" w:cstheme="minorHAnsi"/>
                <w:sz w:val="20"/>
                <w:szCs w:val="20"/>
              </w:rPr>
              <w:t>Razvijajo komunikacijske sposobnosti za učinkovito strokovno komuniciranje.  </w:t>
            </w:r>
          </w:p>
          <w:p w14:paraId="582EF3EA" w14:textId="1062CFCA" w:rsidR="000F03D7" w:rsidRPr="00350CD4" w:rsidRDefault="00352DC7" w:rsidP="003C52BE">
            <w:pPr>
              <w:pStyle w:val="paragraph"/>
              <w:numPr>
                <w:ilvl w:val="0"/>
                <w:numId w:val="17"/>
              </w:numPr>
              <w:spacing w:before="0" w:beforeAutospacing="0" w:after="0" w:afterAutospacing="0"/>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Lahko deluje dokaj samostojno, ob podanih navodilih in delnem nadzoru. </w:t>
            </w:r>
          </w:p>
        </w:tc>
        <w:tc>
          <w:tcPr>
            <w:tcW w:w="152" w:type="dxa"/>
            <w:gridSpan w:val="2"/>
            <w:tcBorders>
              <w:top w:val="nil"/>
              <w:left w:val="single" w:sz="4" w:space="0" w:color="auto"/>
              <w:bottom w:val="nil"/>
              <w:right w:val="single" w:sz="4" w:space="0" w:color="auto"/>
            </w:tcBorders>
          </w:tcPr>
          <w:p w14:paraId="1C5043AF" w14:textId="77777777" w:rsidR="00E638E3" w:rsidRPr="00350CD4" w:rsidRDefault="00E638E3" w:rsidP="003C52BE">
            <w:pPr>
              <w:jc w:val="both"/>
              <w:rPr>
                <w:rFonts w:asciiTheme="minorHAnsi" w:eastAsia="Calibri" w:hAnsiTheme="minorHAnsi" w:cstheme="minorHAnsi"/>
                <w:b/>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4ABD3119" w14:textId="77777777" w:rsidR="00E638E3" w:rsidRPr="00350CD4" w:rsidRDefault="00E638E3" w:rsidP="003C52BE">
            <w:pPr>
              <w:autoSpaceDE w:val="0"/>
              <w:autoSpaceDN w:val="0"/>
              <w:adjustRightInd w:val="0"/>
              <w:jc w:val="both"/>
              <w:rPr>
                <w:rFonts w:asciiTheme="minorHAnsi" w:hAnsiTheme="minorHAnsi" w:cstheme="minorHAnsi"/>
                <w:b/>
                <w:sz w:val="20"/>
                <w:szCs w:val="20"/>
                <w:lang w:val="en-US" w:eastAsia="sl-SI"/>
              </w:rPr>
            </w:pPr>
            <w:r w:rsidRPr="00350CD4">
              <w:rPr>
                <w:rFonts w:asciiTheme="minorHAnsi" w:hAnsiTheme="minorHAnsi" w:cstheme="minorHAnsi"/>
                <w:sz w:val="20"/>
                <w:szCs w:val="20"/>
                <w:lang w:val="en-US" w:eastAsia="sl-SI"/>
              </w:rPr>
              <w:t xml:space="preserve">In this course students: </w:t>
            </w:r>
          </w:p>
          <w:p w14:paraId="049E9C41" w14:textId="74BA242B" w:rsidR="00CB7916" w:rsidRPr="003C52BE" w:rsidRDefault="00CB7916"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consolidate and upgrade theoretical knowledge in the field of sustainable business principles and processes,</w:t>
            </w:r>
          </w:p>
          <w:p w14:paraId="53DD1419" w14:textId="098A6B14" w:rsidR="00CB7916" w:rsidRPr="003C52BE" w:rsidRDefault="00CB7916"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are trained to use theoretical knowledge in the field of operations of sustainable logistics companies,</w:t>
            </w:r>
          </w:p>
          <w:p w14:paraId="6358DC8B" w14:textId="44ADFE9E" w:rsidR="00CB7916" w:rsidRPr="003C52BE" w:rsidRDefault="00CB7916"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get to know the tools for preparing business plans,</w:t>
            </w:r>
          </w:p>
          <w:p w14:paraId="6311BC0D" w14:textId="004F0FC9" w:rsidR="00CB7916" w:rsidRPr="003C52BE" w:rsidRDefault="00CB7916"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learn about the integration of the principles of sustainable development, the circular economy and the shared economy into the operations of logistics companies,</w:t>
            </w:r>
          </w:p>
          <w:p w14:paraId="3A682CB8" w14:textId="0B4B4EF1" w:rsidR="00CB7916" w:rsidRPr="003C52BE" w:rsidRDefault="00CB7916"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are trained in the development of sustainable organizational policies, in the management of companies and supply chains.</w:t>
            </w:r>
          </w:p>
          <w:p w14:paraId="3E2C1F41" w14:textId="77777777" w:rsidR="00CB7916" w:rsidRPr="00350CD4" w:rsidRDefault="00CB7916" w:rsidP="003C52BE">
            <w:pPr>
              <w:jc w:val="both"/>
              <w:rPr>
                <w:rStyle w:val="normaltextrun"/>
                <w:rFonts w:asciiTheme="minorHAnsi" w:hAnsiTheme="minorHAnsi" w:cstheme="minorHAnsi"/>
                <w:sz w:val="20"/>
                <w:szCs w:val="20"/>
              </w:rPr>
            </w:pPr>
          </w:p>
          <w:p w14:paraId="5002744C" w14:textId="77777777" w:rsidR="00CB7916" w:rsidRPr="00350CD4" w:rsidRDefault="00CB7916" w:rsidP="003C52BE">
            <w:pPr>
              <w:jc w:val="both"/>
              <w:rPr>
                <w:rStyle w:val="normaltextrun"/>
                <w:rFonts w:asciiTheme="minorHAnsi" w:hAnsiTheme="minorHAnsi" w:cstheme="minorHAnsi"/>
                <w:b/>
                <w:bCs/>
                <w:sz w:val="20"/>
                <w:szCs w:val="20"/>
              </w:rPr>
            </w:pPr>
            <w:r w:rsidRPr="00350CD4">
              <w:rPr>
                <w:rStyle w:val="normaltextrun"/>
                <w:rFonts w:asciiTheme="minorHAnsi" w:hAnsiTheme="minorHAnsi" w:cstheme="minorHAnsi"/>
                <w:b/>
                <w:bCs/>
                <w:sz w:val="20"/>
                <w:szCs w:val="20"/>
              </w:rPr>
              <w:t>Competences:</w:t>
            </w:r>
          </w:p>
          <w:p w14:paraId="3955186B" w14:textId="724AD76A"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gain an understanding for critical analysis of company processes.</w:t>
            </w:r>
          </w:p>
          <w:p w14:paraId="1096825D" w14:textId="348E1ADD"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gain an understanding of process thinking while taking into account the basic sustainable orientations.</w:t>
            </w:r>
          </w:p>
          <w:p w14:paraId="7913D3D1" w14:textId="7A848FAA"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acquire the ability to find and synthesize new information in the field of sustainable business, in literature and practice.</w:t>
            </w:r>
          </w:p>
          <w:p w14:paraId="08B1F54F" w14:textId="04F45F77"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learn the integration of different knowledge and procedures and the importance of using professional literature on sustainable operations, business opportunities and business plans.</w:t>
            </w:r>
          </w:p>
          <w:p w14:paraId="2E1C9F42" w14:textId="7CCEF771"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know how to identify a problem through the prism of sustainable operation and provide improvements or solutions for it and gain practical experience in the field of operation of sustainable companies.</w:t>
            </w:r>
          </w:p>
          <w:p w14:paraId="1B166C5D" w14:textId="40F2F805"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improve the ability to use information technology, work in groups and independent learning.</w:t>
            </w:r>
          </w:p>
          <w:p w14:paraId="4647E6E7" w14:textId="2CF753A1" w:rsidR="00313323" w:rsidRPr="003C52BE" w:rsidRDefault="00313323" w:rsidP="003C52BE">
            <w:pPr>
              <w:pStyle w:val="Odstavekseznama"/>
              <w:numPr>
                <w:ilvl w:val="0"/>
                <w:numId w:val="47"/>
              </w:numPr>
              <w:jc w:val="both"/>
              <w:rPr>
                <w:rStyle w:val="normaltextrun"/>
                <w:rFonts w:asciiTheme="minorHAnsi" w:hAnsiTheme="minorHAnsi" w:cstheme="minorHAnsi"/>
                <w:sz w:val="20"/>
                <w:szCs w:val="20"/>
              </w:rPr>
            </w:pPr>
            <w:r w:rsidRPr="003C52BE">
              <w:rPr>
                <w:rStyle w:val="normaltextrun"/>
                <w:rFonts w:asciiTheme="minorHAnsi" w:hAnsiTheme="minorHAnsi" w:cstheme="minorHAnsi"/>
                <w:sz w:val="20"/>
                <w:szCs w:val="20"/>
              </w:rPr>
              <w:t>They develop communication skills for effective professional communication.</w:t>
            </w:r>
          </w:p>
          <w:p w14:paraId="41C5AAA2" w14:textId="4F7211D2" w:rsidR="00CB7916" w:rsidRPr="003C52BE" w:rsidRDefault="00313323" w:rsidP="003C52BE">
            <w:pPr>
              <w:pStyle w:val="Odstavekseznama"/>
              <w:numPr>
                <w:ilvl w:val="0"/>
                <w:numId w:val="47"/>
              </w:numPr>
              <w:jc w:val="both"/>
              <w:rPr>
                <w:rFonts w:asciiTheme="minorHAnsi" w:hAnsiTheme="minorHAnsi" w:cstheme="minorHAnsi"/>
                <w:b/>
                <w:sz w:val="20"/>
                <w:szCs w:val="20"/>
              </w:rPr>
            </w:pPr>
            <w:r w:rsidRPr="003C52BE">
              <w:rPr>
                <w:rStyle w:val="normaltextrun"/>
                <w:rFonts w:asciiTheme="minorHAnsi" w:hAnsiTheme="minorHAnsi" w:cstheme="minorHAnsi"/>
                <w:sz w:val="20"/>
                <w:szCs w:val="20"/>
              </w:rPr>
              <w:t>• Can work fairly independently, given instructions and partial supervision.</w:t>
            </w:r>
          </w:p>
        </w:tc>
      </w:tr>
      <w:tr w:rsidR="00E638E3" w:rsidRPr="00350CD4" w14:paraId="2732D8B1" w14:textId="77777777" w:rsidTr="003C52BE">
        <w:trPr>
          <w:trHeight w:val="117"/>
        </w:trPr>
        <w:tc>
          <w:tcPr>
            <w:tcW w:w="4726" w:type="dxa"/>
            <w:gridSpan w:val="3"/>
            <w:tcBorders>
              <w:top w:val="nil"/>
              <w:left w:val="nil"/>
              <w:bottom w:val="single" w:sz="4" w:space="0" w:color="auto"/>
              <w:right w:val="nil"/>
            </w:tcBorders>
          </w:tcPr>
          <w:p w14:paraId="61F8FEE7" w14:textId="77777777" w:rsidR="00E638E3" w:rsidRPr="00350CD4" w:rsidRDefault="00E638E3" w:rsidP="00E638E3">
            <w:pPr>
              <w:rPr>
                <w:rFonts w:asciiTheme="minorHAnsi" w:eastAsia="Calibri" w:hAnsiTheme="minorHAnsi" w:cstheme="minorHAnsi"/>
                <w:b/>
                <w:sz w:val="20"/>
                <w:szCs w:val="20"/>
                <w:lang w:eastAsia="sl-SI"/>
              </w:rPr>
            </w:pPr>
          </w:p>
          <w:p w14:paraId="2857D9C8"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Predvideni študijski rezultati:</w:t>
            </w:r>
          </w:p>
        </w:tc>
        <w:tc>
          <w:tcPr>
            <w:tcW w:w="143" w:type="dxa"/>
          </w:tcPr>
          <w:p w14:paraId="4D4A9CC8" w14:textId="77777777" w:rsidR="00E638E3" w:rsidRPr="00350CD4" w:rsidRDefault="00E638E3" w:rsidP="00E638E3">
            <w:pPr>
              <w:rPr>
                <w:rFonts w:asciiTheme="minorHAnsi" w:eastAsia="Calibri" w:hAnsiTheme="minorHAnsi" w:cstheme="minorHAnsi"/>
                <w:b/>
                <w:sz w:val="20"/>
                <w:szCs w:val="20"/>
                <w:lang w:eastAsia="sl-SI"/>
              </w:rPr>
            </w:pPr>
          </w:p>
          <w:p w14:paraId="426D774D" w14:textId="77777777" w:rsidR="00E638E3" w:rsidRPr="00350CD4" w:rsidRDefault="00E638E3" w:rsidP="00E638E3">
            <w:pPr>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7C86AC38" w14:textId="77777777" w:rsidR="00E638E3" w:rsidRPr="00350CD4" w:rsidRDefault="00E638E3" w:rsidP="00E638E3">
            <w:pPr>
              <w:rPr>
                <w:rFonts w:asciiTheme="minorHAnsi" w:eastAsia="Calibri" w:hAnsiTheme="minorHAnsi" w:cstheme="minorHAnsi"/>
                <w:b/>
                <w:sz w:val="20"/>
                <w:szCs w:val="20"/>
                <w:lang w:eastAsia="sl-SI"/>
              </w:rPr>
            </w:pPr>
          </w:p>
          <w:p w14:paraId="5589EC16"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Intended learning outcomes:</w:t>
            </w:r>
          </w:p>
        </w:tc>
      </w:tr>
      <w:tr w:rsidR="00E638E3" w:rsidRPr="00350CD4" w14:paraId="7BF0CAA8" w14:textId="77777777" w:rsidTr="003C52BE">
        <w:trPr>
          <w:trHeight w:val="721"/>
        </w:trPr>
        <w:tc>
          <w:tcPr>
            <w:tcW w:w="4726" w:type="dxa"/>
            <w:gridSpan w:val="3"/>
            <w:tcBorders>
              <w:top w:val="nil"/>
              <w:left w:val="single" w:sz="4" w:space="0" w:color="auto"/>
              <w:bottom w:val="single" w:sz="4" w:space="0" w:color="auto"/>
              <w:right w:val="single" w:sz="4" w:space="0" w:color="auto"/>
            </w:tcBorders>
          </w:tcPr>
          <w:p w14:paraId="407455EB" w14:textId="5DF47127" w:rsidR="00923630" w:rsidRPr="00350CD4" w:rsidRDefault="00923630" w:rsidP="00350CD4">
            <w:pPr>
              <w:ind w:right="75"/>
              <w:jc w:val="both"/>
              <w:textAlignment w:val="baseline"/>
              <w:rPr>
                <w:rFonts w:asciiTheme="minorHAnsi" w:hAnsiTheme="minorHAnsi" w:cstheme="minorHAnsi"/>
                <w:b/>
                <w:bCs/>
                <w:sz w:val="20"/>
                <w:szCs w:val="20"/>
              </w:rPr>
            </w:pPr>
            <w:r w:rsidRPr="00350CD4">
              <w:rPr>
                <w:rFonts w:asciiTheme="minorHAnsi" w:hAnsiTheme="minorHAnsi" w:cstheme="minorHAnsi"/>
                <w:b/>
                <w:bCs/>
                <w:sz w:val="20"/>
                <w:szCs w:val="20"/>
              </w:rPr>
              <w:t>Študenti ob zaključku predmeta:  </w:t>
            </w:r>
          </w:p>
          <w:p w14:paraId="4A10DD4E" w14:textId="77777777"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obvladajo specifično znanje s področja trajnostega delovanja podjetij v oskrbovalnih verigah,  </w:t>
            </w:r>
          </w:p>
          <w:p w14:paraId="0406D760" w14:textId="12B6052D"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lastRenderedPageBreak/>
              <w:t>pridobijo poglobljeno znanje na področju  identifikacije, analize, vizualizacije in optimizacije procesov v logistiki skladno s trajnostnimi načeli</w:t>
            </w:r>
            <w:r w:rsidR="003C52BE">
              <w:rPr>
                <w:rFonts w:asciiTheme="minorHAnsi" w:hAnsiTheme="minorHAnsi" w:cstheme="minorHAnsi"/>
                <w:sz w:val="20"/>
                <w:szCs w:val="20"/>
              </w:rPr>
              <w:t>,</w:t>
            </w:r>
            <w:r w:rsidRPr="00350CD4">
              <w:rPr>
                <w:rFonts w:asciiTheme="minorHAnsi" w:hAnsiTheme="minorHAnsi" w:cstheme="minorHAnsi"/>
                <w:sz w:val="20"/>
                <w:szCs w:val="20"/>
              </w:rPr>
              <w:t>  </w:t>
            </w:r>
          </w:p>
          <w:p w14:paraId="15812FC8" w14:textId="77777777"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razvijejo sposobnost interpretacije dobljene rešitve, </w:t>
            </w:r>
          </w:p>
          <w:p w14:paraId="1812BE16" w14:textId="77777777"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se seznanijo s pripravo trajnostnih poslovnih načrtov, </w:t>
            </w:r>
          </w:p>
          <w:p w14:paraId="22130ED6" w14:textId="77777777"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naučijo se prepoznavati poslovne priložnosti na področju trajnostnega delovanja, </w:t>
            </w:r>
          </w:p>
          <w:p w14:paraId="502CEE19" w14:textId="77777777"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se usposobijo za nadaljnje proučevanje na  področju trajnostnega delovanja podjetja, </w:t>
            </w:r>
          </w:p>
          <w:p w14:paraId="145CD9A4" w14:textId="5528B313" w:rsidR="00923630" w:rsidRPr="00350CD4" w:rsidRDefault="00923630" w:rsidP="00350CD4">
            <w:pPr>
              <w:pStyle w:val="Odstavekseznama"/>
              <w:numPr>
                <w:ilvl w:val="0"/>
                <w:numId w:val="21"/>
              </w:numPr>
              <w:jc w:val="both"/>
              <w:rPr>
                <w:rFonts w:asciiTheme="minorHAnsi" w:hAnsiTheme="minorHAnsi" w:cstheme="minorHAnsi"/>
                <w:sz w:val="20"/>
                <w:szCs w:val="20"/>
              </w:rPr>
            </w:pPr>
            <w:r w:rsidRPr="00350CD4">
              <w:rPr>
                <w:rFonts w:asciiTheme="minorHAnsi" w:hAnsiTheme="minorHAnsi" w:cstheme="minorHAnsi"/>
                <w:sz w:val="20"/>
                <w:szCs w:val="20"/>
              </w:rPr>
              <w:t>se zavedajo trajnostnih načel  na področju poslovanja logističnih podjetij. </w:t>
            </w:r>
          </w:p>
        </w:tc>
        <w:tc>
          <w:tcPr>
            <w:tcW w:w="143" w:type="dxa"/>
            <w:tcBorders>
              <w:top w:val="nil"/>
              <w:left w:val="single" w:sz="4" w:space="0" w:color="auto"/>
              <w:bottom w:val="nil"/>
              <w:right w:val="single" w:sz="4" w:space="0" w:color="auto"/>
            </w:tcBorders>
          </w:tcPr>
          <w:p w14:paraId="49161D07" w14:textId="77777777" w:rsidR="00E638E3" w:rsidRPr="00350CD4" w:rsidRDefault="00E638E3" w:rsidP="00350CD4">
            <w:pPr>
              <w:jc w:val="both"/>
              <w:rPr>
                <w:rFonts w:asciiTheme="minorHAnsi" w:eastAsia="Calibri" w:hAnsiTheme="minorHAnsi" w:cstheme="minorHAnsi"/>
                <w:b/>
                <w:sz w:val="20"/>
                <w:szCs w:val="20"/>
                <w:lang w:eastAsia="sl-SI"/>
              </w:rPr>
            </w:pPr>
          </w:p>
        </w:tc>
        <w:tc>
          <w:tcPr>
            <w:tcW w:w="4821" w:type="dxa"/>
            <w:gridSpan w:val="2"/>
            <w:tcBorders>
              <w:top w:val="nil"/>
              <w:left w:val="single" w:sz="4" w:space="0" w:color="auto"/>
              <w:bottom w:val="single" w:sz="4" w:space="0" w:color="auto"/>
              <w:right w:val="single" w:sz="4" w:space="0" w:color="auto"/>
            </w:tcBorders>
          </w:tcPr>
          <w:p w14:paraId="65FE8B1B" w14:textId="5803E56A" w:rsidR="00AE647A" w:rsidRPr="00350CD4" w:rsidRDefault="00AE647A" w:rsidP="00350CD4">
            <w:pPr>
              <w:tabs>
                <w:tab w:val="left" w:pos="227"/>
              </w:tabs>
              <w:jc w:val="both"/>
              <w:rPr>
                <w:rFonts w:asciiTheme="minorHAnsi" w:eastAsia="Calibri" w:hAnsiTheme="minorHAnsi" w:cstheme="minorHAnsi"/>
                <w:b/>
                <w:bCs/>
                <w:sz w:val="20"/>
                <w:szCs w:val="20"/>
                <w:lang w:eastAsia="sl-SI"/>
              </w:rPr>
            </w:pPr>
            <w:r w:rsidRPr="00350CD4">
              <w:rPr>
                <w:rFonts w:asciiTheme="minorHAnsi" w:eastAsia="Calibri" w:hAnsiTheme="minorHAnsi" w:cstheme="minorHAnsi"/>
                <w:b/>
                <w:bCs/>
                <w:sz w:val="20"/>
                <w:szCs w:val="20"/>
                <w:lang w:eastAsia="sl-SI"/>
              </w:rPr>
              <w:t>Students upon completion of the course:</w:t>
            </w:r>
          </w:p>
          <w:p w14:paraId="712B859D" w14:textId="1CBC642D"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master specific knowledge in the field of sustainable operation of companies in supply chains,</w:t>
            </w:r>
          </w:p>
          <w:p w14:paraId="2DB1CD13" w14:textId="207B1763"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lastRenderedPageBreak/>
              <w:t>acquire in-depth knowledge in the field of identification, analysis, visualization and optimization of logistics processes in accordance with sustainable principles</w:t>
            </w:r>
            <w:r w:rsidR="003C52BE">
              <w:rPr>
                <w:rFonts w:asciiTheme="minorHAnsi" w:eastAsia="Calibri" w:hAnsiTheme="minorHAnsi" w:cstheme="minorHAnsi"/>
                <w:sz w:val="20"/>
                <w:szCs w:val="20"/>
                <w:lang w:eastAsia="sl-SI"/>
              </w:rPr>
              <w:t>,</w:t>
            </w:r>
          </w:p>
          <w:p w14:paraId="19152141" w14:textId="07FA414D"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develop the ability to interpret the obtained solution,</w:t>
            </w:r>
          </w:p>
          <w:p w14:paraId="5AA97BCD" w14:textId="311310F8"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become familiar with the preparation of sustainable business plans,</w:t>
            </w:r>
          </w:p>
          <w:p w14:paraId="32FF425D" w14:textId="040E99F3"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learn to recognize business opportunities in the field of sustainable operations,</w:t>
            </w:r>
          </w:p>
          <w:p w14:paraId="05A1A9ED" w14:textId="3988A048"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are trained for further study in the field of sustainable company operation,</w:t>
            </w:r>
          </w:p>
          <w:p w14:paraId="58EC4A72" w14:textId="25DC5EDB" w:rsidR="00AE647A" w:rsidRPr="00350CD4" w:rsidRDefault="00AE647A" w:rsidP="003C52BE">
            <w:pPr>
              <w:pStyle w:val="Odstavekseznama"/>
              <w:numPr>
                <w:ilvl w:val="0"/>
                <w:numId w:val="47"/>
              </w:num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they are aware of sustainable principles in the field of operations of logistics companies.</w:t>
            </w:r>
          </w:p>
        </w:tc>
      </w:tr>
      <w:tr w:rsidR="00E638E3" w:rsidRPr="00350CD4" w14:paraId="28C61BBA" w14:textId="77777777" w:rsidTr="003C52BE">
        <w:tc>
          <w:tcPr>
            <w:tcW w:w="4726" w:type="dxa"/>
            <w:gridSpan w:val="3"/>
            <w:tcBorders>
              <w:top w:val="nil"/>
              <w:left w:val="nil"/>
              <w:bottom w:val="single" w:sz="4" w:space="0" w:color="auto"/>
              <w:right w:val="nil"/>
            </w:tcBorders>
          </w:tcPr>
          <w:p w14:paraId="5F9B87AA" w14:textId="77777777" w:rsidR="00E638E3" w:rsidRPr="00350CD4" w:rsidRDefault="00E638E3" w:rsidP="00E638E3">
            <w:pPr>
              <w:rPr>
                <w:rFonts w:asciiTheme="minorHAnsi" w:eastAsia="Calibri" w:hAnsiTheme="minorHAnsi" w:cstheme="minorHAnsi"/>
                <w:b/>
                <w:sz w:val="20"/>
                <w:szCs w:val="20"/>
                <w:lang w:eastAsia="sl-SI"/>
              </w:rPr>
            </w:pPr>
          </w:p>
          <w:p w14:paraId="6CB06FAE"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Metode poučevanja in učenja:</w:t>
            </w:r>
          </w:p>
        </w:tc>
        <w:tc>
          <w:tcPr>
            <w:tcW w:w="143" w:type="dxa"/>
          </w:tcPr>
          <w:p w14:paraId="47B947C4" w14:textId="77777777" w:rsidR="00E638E3" w:rsidRPr="00350CD4" w:rsidRDefault="00E638E3" w:rsidP="00E638E3">
            <w:pPr>
              <w:rPr>
                <w:rFonts w:asciiTheme="minorHAnsi" w:eastAsia="Calibri" w:hAnsiTheme="minorHAnsi" w:cstheme="minorHAnsi"/>
                <w:b/>
                <w:sz w:val="20"/>
                <w:szCs w:val="20"/>
                <w:lang w:eastAsia="sl-SI"/>
              </w:rPr>
            </w:pPr>
          </w:p>
          <w:p w14:paraId="2A03173A" w14:textId="77777777" w:rsidR="00E638E3" w:rsidRPr="00350CD4" w:rsidRDefault="00E638E3" w:rsidP="00E638E3">
            <w:pPr>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539ECA8F" w14:textId="77777777" w:rsidR="00E638E3" w:rsidRPr="00350CD4" w:rsidRDefault="00E638E3" w:rsidP="00E638E3">
            <w:pPr>
              <w:rPr>
                <w:rFonts w:asciiTheme="minorHAnsi" w:eastAsia="Calibri" w:hAnsiTheme="minorHAnsi" w:cstheme="minorHAnsi"/>
                <w:b/>
                <w:sz w:val="20"/>
                <w:szCs w:val="20"/>
                <w:lang w:eastAsia="sl-SI"/>
              </w:rPr>
            </w:pPr>
          </w:p>
          <w:p w14:paraId="0DCDBC86"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Learning and teaching methods:</w:t>
            </w:r>
          </w:p>
        </w:tc>
      </w:tr>
      <w:tr w:rsidR="00E638E3" w:rsidRPr="00350CD4" w14:paraId="4C66F302" w14:textId="77777777" w:rsidTr="003C52BE">
        <w:trPr>
          <w:trHeight w:val="411"/>
        </w:trPr>
        <w:tc>
          <w:tcPr>
            <w:tcW w:w="4726" w:type="dxa"/>
            <w:gridSpan w:val="3"/>
            <w:tcBorders>
              <w:top w:val="single" w:sz="4" w:space="0" w:color="auto"/>
              <w:left w:val="single" w:sz="4" w:space="0" w:color="auto"/>
              <w:bottom w:val="single" w:sz="4" w:space="0" w:color="auto"/>
              <w:right w:val="single" w:sz="4" w:space="0" w:color="auto"/>
            </w:tcBorders>
          </w:tcPr>
          <w:p w14:paraId="0F5420DF" w14:textId="77777777" w:rsidR="00B8093A" w:rsidRPr="00350CD4" w:rsidRDefault="00B8093A" w:rsidP="003C52BE">
            <w:pPr>
              <w:pStyle w:val="paragraph"/>
              <w:spacing w:before="0" w:beforeAutospacing="0" w:after="0" w:afterAutospacing="0"/>
              <w:ind w:right="75"/>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Predmet vključuje različne metode poučevanja in učenja, kot so: predavanja, diskusijske skupine, video predstavitve in filmi, študije primerov iz prakse, igričarstvo, problemsko učenje in praktično dela skozi simulacije delovanja trajnostnih logističnih podjetij ter skupinske predstavitve, zagovore in samostojni študij študentov.</w:t>
            </w:r>
            <w:r w:rsidRPr="00350CD4">
              <w:rPr>
                <w:rStyle w:val="eop"/>
                <w:rFonts w:asciiTheme="minorHAnsi" w:hAnsiTheme="minorHAnsi" w:cstheme="minorHAnsi"/>
                <w:sz w:val="20"/>
                <w:szCs w:val="20"/>
              </w:rPr>
              <w:t> </w:t>
            </w:r>
          </w:p>
          <w:p w14:paraId="297DBF8A" w14:textId="77777777" w:rsidR="00B8093A" w:rsidRPr="00350CD4" w:rsidRDefault="00B8093A" w:rsidP="003C52BE">
            <w:pPr>
              <w:pStyle w:val="paragraph"/>
              <w:spacing w:before="0" w:beforeAutospacing="0" w:after="0" w:afterAutospacing="0"/>
              <w:ind w:right="75"/>
              <w:jc w:val="both"/>
              <w:textAlignment w:val="baseline"/>
              <w:rPr>
                <w:rFonts w:asciiTheme="minorHAnsi" w:hAnsiTheme="minorHAnsi" w:cstheme="minorHAnsi"/>
                <w:sz w:val="20"/>
                <w:szCs w:val="20"/>
              </w:rPr>
            </w:pPr>
            <w:r w:rsidRPr="00350CD4">
              <w:rPr>
                <w:rStyle w:val="eop"/>
                <w:rFonts w:asciiTheme="minorHAnsi" w:hAnsiTheme="minorHAnsi" w:cstheme="minorHAnsi"/>
                <w:sz w:val="20"/>
                <w:szCs w:val="20"/>
              </w:rPr>
              <w:t> </w:t>
            </w:r>
          </w:p>
          <w:p w14:paraId="5829D145" w14:textId="77777777" w:rsidR="00B8093A" w:rsidRPr="00350CD4" w:rsidRDefault="00B8093A" w:rsidP="003C52BE">
            <w:pPr>
              <w:pStyle w:val="paragraph"/>
              <w:spacing w:before="0" w:beforeAutospacing="0" w:after="0" w:afterAutospacing="0"/>
              <w:ind w:right="75"/>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 xml:space="preserve">Predavanja: pri predavanjih študent spozna teoretične vsebine predmeta in primere dobre prakse iz trajnostnih logističnih podjetij. Del predavanj se izvaja na klasični način v predavalnici, del pa v obliki e-predavanj (e-predavanja se lahko izvajajo na videokonferenčni način ali s pomočjo posebej v ta namen didaktično pripravljenih e-gradiv v virtualnem elektronskem učnem okolju). </w:t>
            </w:r>
            <w:r w:rsidRPr="00350CD4">
              <w:rPr>
                <w:rStyle w:val="eop"/>
                <w:rFonts w:asciiTheme="minorHAnsi" w:hAnsiTheme="minorHAnsi" w:cstheme="minorHAnsi"/>
                <w:sz w:val="20"/>
                <w:szCs w:val="20"/>
              </w:rPr>
              <w:t> </w:t>
            </w:r>
          </w:p>
          <w:p w14:paraId="574E307D" w14:textId="77777777" w:rsidR="00B8093A" w:rsidRPr="00350CD4" w:rsidRDefault="00B8093A" w:rsidP="003C52BE">
            <w:pPr>
              <w:pStyle w:val="paragraph"/>
              <w:spacing w:before="0" w:beforeAutospacing="0" w:after="0" w:afterAutospacing="0"/>
              <w:ind w:right="75"/>
              <w:jc w:val="both"/>
              <w:textAlignment w:val="baseline"/>
              <w:rPr>
                <w:rFonts w:asciiTheme="minorHAnsi" w:hAnsiTheme="minorHAnsi" w:cstheme="minorHAnsi"/>
                <w:sz w:val="20"/>
                <w:szCs w:val="20"/>
              </w:rPr>
            </w:pPr>
            <w:r w:rsidRPr="00350CD4">
              <w:rPr>
                <w:rStyle w:val="eop"/>
                <w:rFonts w:asciiTheme="minorHAnsi" w:hAnsiTheme="minorHAnsi" w:cstheme="minorHAnsi"/>
                <w:sz w:val="20"/>
                <w:szCs w:val="20"/>
              </w:rPr>
              <w:t> </w:t>
            </w:r>
          </w:p>
          <w:p w14:paraId="6DA6FEE1" w14:textId="77777777" w:rsidR="00B8093A" w:rsidRPr="00350CD4" w:rsidRDefault="00B8093A" w:rsidP="003C52BE">
            <w:pPr>
              <w:pStyle w:val="paragraph"/>
              <w:spacing w:before="0" w:beforeAutospacing="0" w:after="0" w:afterAutospacing="0"/>
              <w:jc w:val="both"/>
              <w:textAlignment w:val="baseline"/>
              <w:rPr>
                <w:rFonts w:asciiTheme="minorHAnsi" w:hAnsiTheme="minorHAnsi" w:cstheme="minorHAnsi"/>
                <w:sz w:val="20"/>
                <w:szCs w:val="20"/>
              </w:rPr>
            </w:pPr>
            <w:r w:rsidRPr="00350CD4">
              <w:rPr>
                <w:rStyle w:val="normaltextrun"/>
                <w:rFonts w:asciiTheme="minorHAnsi" w:hAnsiTheme="minorHAnsi" w:cstheme="minorHAnsi"/>
                <w:sz w:val="20"/>
                <w:szCs w:val="20"/>
              </w:rPr>
              <w:t>Vaje: pri vajah študent utrdi teoretično znanje in spozna aplikativne možnosti. Del vaj se izvaja na klasični način v predavalnici (tudi igričarstvo in problemsko učenje), del pa v obliki e-vaj (e-vaje se lahko izvajajo na videokonferenčni način ali s pomočjo posebej v ta namen didaktično pripravljenih e-gradiv v virtualnem elektronskem učnem okolju).</w:t>
            </w:r>
            <w:r w:rsidRPr="00350CD4">
              <w:rPr>
                <w:rStyle w:val="eop"/>
                <w:rFonts w:asciiTheme="minorHAnsi" w:hAnsiTheme="minorHAnsi" w:cstheme="minorHAnsi"/>
                <w:sz w:val="20"/>
                <w:szCs w:val="20"/>
              </w:rPr>
              <w:t> </w:t>
            </w:r>
          </w:p>
          <w:p w14:paraId="2A339AFB" w14:textId="5D3F7E1B" w:rsidR="00B8093A" w:rsidRPr="00350CD4" w:rsidRDefault="00B8093A" w:rsidP="003C52BE">
            <w:pPr>
              <w:jc w:val="both"/>
              <w:rPr>
                <w:rFonts w:asciiTheme="minorHAnsi" w:eastAsia="Calibri" w:hAnsiTheme="minorHAnsi" w:cstheme="minorHAnsi"/>
                <w:sz w:val="20"/>
                <w:szCs w:val="20"/>
                <w:lang w:eastAsia="sl-SI"/>
              </w:rPr>
            </w:pPr>
          </w:p>
        </w:tc>
        <w:tc>
          <w:tcPr>
            <w:tcW w:w="143" w:type="dxa"/>
            <w:tcBorders>
              <w:top w:val="nil"/>
              <w:left w:val="single" w:sz="4" w:space="0" w:color="auto"/>
              <w:bottom w:val="nil"/>
              <w:right w:val="single" w:sz="4" w:space="0" w:color="auto"/>
            </w:tcBorders>
          </w:tcPr>
          <w:p w14:paraId="18CD4BF4" w14:textId="77777777" w:rsidR="00E638E3" w:rsidRPr="00350CD4" w:rsidRDefault="00E638E3" w:rsidP="003C52BE">
            <w:pPr>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744D0260" w14:textId="77777777" w:rsidR="00B8093A" w:rsidRPr="00350CD4" w:rsidRDefault="00B8093A" w:rsidP="003C52BE">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The course includes various teaching and learning methods, such as: lectures, discussion groups, video presentations and films, case studies from practice, games, problem-based learning and practical work through simulations of the operation of sustainable logistics companies, as well as group presentations, defenses and independent study of students.</w:t>
            </w:r>
          </w:p>
          <w:p w14:paraId="49611DC0" w14:textId="77777777" w:rsidR="00B8093A" w:rsidRPr="00350CD4" w:rsidRDefault="00B8093A" w:rsidP="003C52BE">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 xml:space="preserve"> </w:t>
            </w:r>
          </w:p>
          <w:p w14:paraId="2DBF38C6" w14:textId="77777777" w:rsidR="00B8093A" w:rsidRPr="00350CD4" w:rsidRDefault="00B8093A" w:rsidP="003C52BE">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Lectures: during the lectures, the student gets to know the theoretical contents of the course and examples of good practice from sustainable logistics companies. Part of the lectures are conducted in the traditional way in the lecture hall, and part in the form of e-lectures (e-lectures can be conducted in a videoconference manner or with the help of e-materials specially prepared for this purpose in a virtual electronic learning environment).</w:t>
            </w:r>
          </w:p>
          <w:p w14:paraId="1BF1DE98" w14:textId="77777777" w:rsidR="00B8093A" w:rsidRPr="00350CD4" w:rsidRDefault="00B8093A" w:rsidP="003C52BE">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 xml:space="preserve"> </w:t>
            </w:r>
          </w:p>
          <w:p w14:paraId="16E78F08" w14:textId="28F53ED1" w:rsidR="00B8093A" w:rsidRPr="00350CD4" w:rsidRDefault="00B8093A" w:rsidP="003C52BE">
            <w:pPr>
              <w:jc w:val="both"/>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Exercises: in exercises, the student consolidates theoretical knowledge and learns about application possibilities. Part of the exercises are carried out in the classic way in the lecture hall (including games and problem-based learning), and part in the form of e-exercises (e-exercises can be carried out via video conference or with the help of e-materials specially prepared for this purpose in a virtual electronic learning environment).</w:t>
            </w:r>
          </w:p>
        </w:tc>
      </w:tr>
      <w:tr w:rsidR="00E638E3" w:rsidRPr="00350CD4" w14:paraId="0566443A" w14:textId="77777777" w:rsidTr="003C52BE">
        <w:tc>
          <w:tcPr>
            <w:tcW w:w="4018" w:type="dxa"/>
            <w:tcBorders>
              <w:top w:val="nil"/>
              <w:left w:val="nil"/>
              <w:bottom w:val="single" w:sz="4" w:space="0" w:color="auto"/>
              <w:right w:val="nil"/>
            </w:tcBorders>
          </w:tcPr>
          <w:p w14:paraId="24856A0C" w14:textId="77777777" w:rsidR="00E638E3" w:rsidRPr="00350CD4" w:rsidRDefault="00E638E3" w:rsidP="00E638E3">
            <w:pPr>
              <w:rPr>
                <w:rFonts w:asciiTheme="minorHAnsi" w:eastAsia="Calibri" w:hAnsiTheme="minorHAnsi" w:cstheme="minorHAnsi"/>
                <w:b/>
                <w:sz w:val="20"/>
                <w:szCs w:val="20"/>
                <w:lang w:eastAsia="sl-SI"/>
              </w:rPr>
            </w:pPr>
          </w:p>
          <w:p w14:paraId="3DACF7C6" w14:textId="77777777" w:rsidR="00E638E3" w:rsidRPr="00350CD4" w:rsidRDefault="00E638E3" w:rsidP="00E638E3">
            <w:pPr>
              <w:rPr>
                <w:rFonts w:asciiTheme="minorHAnsi" w:eastAsia="Calibri" w:hAnsiTheme="minorHAnsi" w:cstheme="minorHAnsi"/>
                <w:b/>
                <w:sz w:val="20"/>
                <w:szCs w:val="20"/>
                <w:lang w:eastAsia="sl-SI"/>
              </w:rPr>
            </w:pPr>
          </w:p>
          <w:p w14:paraId="2D420B6D" w14:textId="36F705F9"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Načini ocenjevanja:</w:t>
            </w:r>
          </w:p>
        </w:tc>
        <w:tc>
          <w:tcPr>
            <w:tcW w:w="1560" w:type="dxa"/>
            <w:gridSpan w:val="4"/>
            <w:tcBorders>
              <w:top w:val="nil"/>
              <w:left w:val="nil"/>
              <w:bottom w:val="single" w:sz="4" w:space="0" w:color="auto"/>
              <w:right w:val="nil"/>
            </w:tcBorders>
          </w:tcPr>
          <w:p w14:paraId="64E7CBFA" w14:textId="77777777" w:rsidR="00E638E3" w:rsidRPr="00350CD4" w:rsidRDefault="00E638E3" w:rsidP="00E638E3">
            <w:pPr>
              <w:rPr>
                <w:rFonts w:asciiTheme="minorHAnsi" w:eastAsia="Calibri" w:hAnsiTheme="minorHAnsi" w:cstheme="minorHAnsi"/>
                <w:sz w:val="20"/>
                <w:szCs w:val="20"/>
                <w:lang w:eastAsia="sl-SI"/>
              </w:rPr>
            </w:pPr>
          </w:p>
          <w:p w14:paraId="59BD2FDC" w14:textId="52781C70" w:rsidR="00E638E3" w:rsidRPr="00350CD4" w:rsidRDefault="00E638E3" w:rsidP="00E638E3">
            <w:pPr>
              <w:rPr>
                <w:rFonts w:asciiTheme="minorHAnsi" w:eastAsia="Calibri" w:hAnsiTheme="minorHAnsi" w:cstheme="minorHAnsi"/>
                <w:sz w:val="20"/>
                <w:szCs w:val="20"/>
                <w:lang w:eastAsia="sl-SI"/>
              </w:rPr>
            </w:pPr>
            <w:r w:rsidRPr="00350CD4">
              <w:rPr>
                <w:rFonts w:asciiTheme="minorHAnsi" w:eastAsia="Calibri" w:hAnsiTheme="minorHAnsi" w:cstheme="minorHAnsi"/>
                <w:sz w:val="20"/>
                <w:szCs w:val="20"/>
                <w:lang w:eastAsia="sl-SI"/>
              </w:rPr>
              <w:t>Delež (v %) /</w:t>
            </w:r>
          </w:p>
          <w:p w14:paraId="49E1EDE7" w14:textId="77777777"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sz w:val="20"/>
                <w:szCs w:val="20"/>
                <w:lang w:eastAsia="sl-SI"/>
              </w:rPr>
              <w:t>Share (in %)</w:t>
            </w:r>
          </w:p>
        </w:tc>
        <w:tc>
          <w:tcPr>
            <w:tcW w:w="4112" w:type="dxa"/>
            <w:tcBorders>
              <w:top w:val="nil"/>
              <w:left w:val="nil"/>
              <w:bottom w:val="single" w:sz="4" w:space="0" w:color="auto"/>
              <w:right w:val="nil"/>
            </w:tcBorders>
          </w:tcPr>
          <w:p w14:paraId="7B708EBB" w14:textId="77777777" w:rsidR="00E638E3" w:rsidRPr="00350CD4" w:rsidRDefault="00E638E3" w:rsidP="00E638E3">
            <w:pPr>
              <w:rPr>
                <w:rFonts w:asciiTheme="minorHAnsi" w:eastAsia="Calibri" w:hAnsiTheme="minorHAnsi" w:cstheme="minorHAnsi"/>
                <w:b/>
                <w:sz w:val="20"/>
                <w:szCs w:val="20"/>
                <w:lang w:eastAsia="sl-SI"/>
              </w:rPr>
            </w:pPr>
          </w:p>
          <w:p w14:paraId="173DEBF2" w14:textId="77777777" w:rsidR="00E638E3" w:rsidRPr="00350CD4" w:rsidRDefault="00E638E3" w:rsidP="00E638E3">
            <w:pPr>
              <w:rPr>
                <w:rFonts w:asciiTheme="minorHAnsi" w:eastAsia="Calibri" w:hAnsiTheme="minorHAnsi" w:cstheme="minorHAnsi"/>
                <w:b/>
                <w:sz w:val="20"/>
                <w:szCs w:val="20"/>
                <w:lang w:eastAsia="sl-SI"/>
              </w:rPr>
            </w:pPr>
          </w:p>
          <w:p w14:paraId="282097A4" w14:textId="0F6E584B" w:rsidR="00E638E3" w:rsidRPr="00350CD4" w:rsidRDefault="00E638E3" w:rsidP="00E638E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Assessment methods:</w:t>
            </w:r>
          </w:p>
        </w:tc>
      </w:tr>
      <w:tr w:rsidR="003C52BE" w:rsidRPr="003C52BE" w14:paraId="52B92BAD" w14:textId="77777777" w:rsidTr="003C52BE">
        <w:trPr>
          <w:trHeight w:val="809"/>
        </w:trPr>
        <w:tc>
          <w:tcPr>
            <w:tcW w:w="4018" w:type="dxa"/>
            <w:tcBorders>
              <w:top w:val="single" w:sz="4" w:space="0" w:color="auto"/>
              <w:left w:val="single" w:sz="4" w:space="0" w:color="auto"/>
              <w:bottom w:val="single" w:sz="4" w:space="0" w:color="auto"/>
              <w:right w:val="single" w:sz="4" w:space="0" w:color="auto"/>
            </w:tcBorders>
          </w:tcPr>
          <w:p w14:paraId="76641752" w14:textId="652FF1F1" w:rsidR="002B3237" w:rsidRPr="003C52BE" w:rsidRDefault="002B3237" w:rsidP="002B3237">
            <w:pPr>
              <w:pStyle w:val="Odstavekseznama"/>
              <w:numPr>
                <w:ilvl w:val="0"/>
                <w:numId w:val="21"/>
              </w:numPr>
              <w:ind w:right="113"/>
              <w:jc w:val="both"/>
              <w:rPr>
                <w:rFonts w:asciiTheme="minorHAnsi" w:eastAsia="Calibri" w:hAnsiTheme="minorHAnsi" w:cstheme="minorHAnsi"/>
                <w:b/>
                <w:color w:val="000000" w:themeColor="text1"/>
                <w:sz w:val="20"/>
                <w:szCs w:val="20"/>
              </w:rPr>
            </w:pPr>
            <w:r w:rsidRPr="003C52BE">
              <w:rPr>
                <w:rFonts w:asciiTheme="minorHAnsi" w:eastAsia="Calibri" w:hAnsiTheme="minorHAnsi" w:cstheme="minorHAnsi"/>
                <w:color w:val="000000" w:themeColor="text1"/>
                <w:sz w:val="20"/>
                <w:szCs w:val="20"/>
              </w:rPr>
              <w:t>Pisni izpit.</w:t>
            </w:r>
          </w:p>
          <w:p w14:paraId="78DFA0CB" w14:textId="2370EB2E" w:rsidR="002B3237" w:rsidRPr="003C52BE" w:rsidRDefault="002B3237" w:rsidP="002B3237">
            <w:pPr>
              <w:pStyle w:val="Navadensplet"/>
              <w:numPr>
                <w:ilvl w:val="0"/>
                <w:numId w:val="21"/>
              </w:numPr>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Sprotne naloge</w:t>
            </w:r>
            <w:r w:rsidR="003C52BE" w:rsidRPr="003C52BE">
              <w:rPr>
                <w:rFonts w:asciiTheme="minorHAnsi" w:hAnsiTheme="minorHAnsi" w:cstheme="minorHAnsi"/>
                <w:color w:val="000000" w:themeColor="text1"/>
                <w:sz w:val="20"/>
                <w:szCs w:val="20"/>
              </w:rPr>
              <w:t>.</w:t>
            </w:r>
            <w:r w:rsidRPr="003C52BE">
              <w:rPr>
                <w:rFonts w:asciiTheme="minorHAnsi" w:hAnsiTheme="minorHAnsi" w:cstheme="minorHAnsi"/>
                <w:color w:val="000000" w:themeColor="text1"/>
                <w:sz w:val="20"/>
                <w:szCs w:val="20"/>
              </w:rPr>
              <w:t xml:space="preserve"> </w:t>
            </w:r>
          </w:p>
          <w:p w14:paraId="73D37E4C" w14:textId="3DFB16A8" w:rsidR="008F145E" w:rsidRPr="003C52BE" w:rsidRDefault="002B3237" w:rsidP="002B3237">
            <w:pPr>
              <w:pStyle w:val="paragraph"/>
              <w:numPr>
                <w:ilvl w:val="0"/>
                <w:numId w:val="21"/>
              </w:numPr>
              <w:spacing w:before="0" w:beforeAutospacing="0" w:after="0" w:afterAutospacing="0"/>
              <w:jc w:val="both"/>
              <w:textAlignment w:val="baseline"/>
              <w:rPr>
                <w:rFonts w:asciiTheme="minorHAnsi" w:hAnsiTheme="minorHAnsi" w:cstheme="minorHAnsi"/>
                <w:color w:val="000000" w:themeColor="text1"/>
                <w:sz w:val="20"/>
                <w:szCs w:val="20"/>
              </w:rPr>
            </w:pPr>
            <w:r w:rsidRPr="003C52BE">
              <w:rPr>
                <w:rFonts w:asciiTheme="minorHAnsi" w:eastAsia="Calibri" w:hAnsiTheme="minorHAnsi" w:cstheme="minorHAnsi"/>
                <w:color w:val="000000" w:themeColor="text1"/>
                <w:sz w:val="20"/>
                <w:szCs w:val="20"/>
              </w:rPr>
              <w:t>Seminarska naloga</w:t>
            </w:r>
            <w:r w:rsidR="003C52BE" w:rsidRPr="003C52BE">
              <w:rPr>
                <w:rFonts w:asciiTheme="minorHAnsi" w:eastAsia="Calibri" w:hAnsiTheme="minorHAnsi" w:cstheme="minorHAnsi"/>
                <w:color w:val="000000" w:themeColor="text1"/>
                <w:sz w:val="20"/>
                <w:szCs w:val="20"/>
              </w:rPr>
              <w:t>.</w:t>
            </w:r>
          </w:p>
        </w:tc>
        <w:tc>
          <w:tcPr>
            <w:tcW w:w="1560" w:type="dxa"/>
            <w:gridSpan w:val="4"/>
            <w:tcBorders>
              <w:top w:val="single" w:sz="4" w:space="0" w:color="auto"/>
              <w:left w:val="single" w:sz="4" w:space="0" w:color="auto"/>
              <w:bottom w:val="single" w:sz="4" w:space="0" w:color="auto"/>
              <w:right w:val="single" w:sz="4" w:space="0" w:color="auto"/>
            </w:tcBorders>
          </w:tcPr>
          <w:p w14:paraId="01AD381F" w14:textId="5E300BD3" w:rsidR="008861B9" w:rsidRPr="003C52BE" w:rsidRDefault="008861B9" w:rsidP="008861B9">
            <w:pPr>
              <w:jc w:val="center"/>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65%</w:t>
            </w:r>
          </w:p>
          <w:p w14:paraId="6D4EA6D8" w14:textId="77777777" w:rsidR="008861B9" w:rsidRPr="003C52BE" w:rsidRDefault="008861B9" w:rsidP="008861B9">
            <w:pPr>
              <w:jc w:val="center"/>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15%</w:t>
            </w:r>
          </w:p>
          <w:p w14:paraId="6252E3BC" w14:textId="7D63A567" w:rsidR="008F145E" w:rsidRPr="003C52BE" w:rsidRDefault="008861B9" w:rsidP="008861B9">
            <w:pPr>
              <w:jc w:val="center"/>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20%</w:t>
            </w:r>
          </w:p>
        </w:tc>
        <w:tc>
          <w:tcPr>
            <w:tcW w:w="4112" w:type="dxa"/>
            <w:tcBorders>
              <w:top w:val="single" w:sz="4" w:space="0" w:color="auto"/>
              <w:left w:val="single" w:sz="4" w:space="0" w:color="auto"/>
              <w:bottom w:val="single" w:sz="4" w:space="0" w:color="auto"/>
              <w:right w:val="single" w:sz="4" w:space="0" w:color="auto"/>
            </w:tcBorders>
          </w:tcPr>
          <w:p w14:paraId="0072F9E3" w14:textId="64A107CA" w:rsidR="002B3237" w:rsidRPr="003C52BE" w:rsidRDefault="002B3237" w:rsidP="004B180D">
            <w:pPr>
              <w:pStyle w:val="Odstavekseznama"/>
              <w:numPr>
                <w:ilvl w:val="0"/>
                <w:numId w:val="21"/>
              </w:numPr>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Written exam</w:t>
            </w:r>
            <w:r w:rsidR="003C52BE" w:rsidRPr="003C52BE">
              <w:rPr>
                <w:rFonts w:asciiTheme="minorHAnsi" w:eastAsia="Calibri" w:hAnsiTheme="minorHAnsi" w:cstheme="minorHAnsi"/>
                <w:color w:val="000000" w:themeColor="text1"/>
                <w:sz w:val="20"/>
                <w:szCs w:val="20"/>
                <w:lang w:eastAsia="sl-SI"/>
              </w:rPr>
              <w:t>.</w:t>
            </w:r>
          </w:p>
          <w:p w14:paraId="0D4F656A" w14:textId="2A777528" w:rsidR="002B3237" w:rsidRPr="003C52BE" w:rsidRDefault="00D60365" w:rsidP="004B180D">
            <w:pPr>
              <w:pStyle w:val="Odstavekseznama"/>
              <w:numPr>
                <w:ilvl w:val="0"/>
                <w:numId w:val="21"/>
              </w:numPr>
              <w:rPr>
                <w:rFonts w:asciiTheme="minorHAnsi" w:eastAsia="Calibri" w:hAnsiTheme="minorHAnsi" w:cstheme="minorHAnsi"/>
                <w:strike/>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Coursework.</w:t>
            </w:r>
          </w:p>
          <w:p w14:paraId="20F78515" w14:textId="10B4CBA5" w:rsidR="004B180D" w:rsidRPr="003C52BE" w:rsidRDefault="002B3237" w:rsidP="004B180D">
            <w:pPr>
              <w:pStyle w:val="Odstavekseznama"/>
              <w:numPr>
                <w:ilvl w:val="0"/>
                <w:numId w:val="21"/>
              </w:numPr>
              <w:rPr>
                <w:rFonts w:asciiTheme="minorHAnsi" w:eastAsia="Calibri" w:hAnsiTheme="minorHAnsi" w:cstheme="minorHAnsi"/>
                <w:color w:val="000000" w:themeColor="text1"/>
                <w:sz w:val="20"/>
                <w:szCs w:val="20"/>
                <w:lang w:eastAsia="sl-SI"/>
              </w:rPr>
            </w:pPr>
            <w:r w:rsidRPr="003C52BE">
              <w:rPr>
                <w:rFonts w:asciiTheme="minorHAnsi" w:eastAsia="Calibri" w:hAnsiTheme="minorHAnsi" w:cstheme="minorHAnsi"/>
                <w:color w:val="000000" w:themeColor="text1"/>
                <w:sz w:val="20"/>
                <w:szCs w:val="20"/>
                <w:lang w:eastAsia="sl-SI"/>
              </w:rPr>
              <w:t>Seminar paper</w:t>
            </w:r>
            <w:r w:rsidR="003C52BE" w:rsidRPr="003C52BE">
              <w:rPr>
                <w:rFonts w:asciiTheme="minorHAnsi" w:eastAsia="Calibri" w:hAnsiTheme="minorHAnsi" w:cstheme="minorHAnsi"/>
                <w:color w:val="000000" w:themeColor="text1"/>
                <w:sz w:val="20"/>
                <w:szCs w:val="20"/>
                <w:lang w:eastAsia="sl-SI"/>
              </w:rPr>
              <w:t>.</w:t>
            </w:r>
          </w:p>
        </w:tc>
      </w:tr>
    </w:tbl>
    <w:p w14:paraId="24CD7CC4" w14:textId="0730ED06" w:rsidR="007D7287" w:rsidRPr="00350CD4" w:rsidRDefault="007D7287" w:rsidP="005A11E4">
      <w:pPr>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350CD4" w14:paraId="0D823691" w14:textId="77777777" w:rsidTr="007D7287">
        <w:tc>
          <w:tcPr>
            <w:tcW w:w="9690" w:type="dxa"/>
            <w:tcBorders>
              <w:left w:val="nil"/>
              <w:bottom w:val="single" w:sz="4" w:space="0" w:color="auto"/>
              <w:right w:val="nil"/>
            </w:tcBorders>
          </w:tcPr>
          <w:p w14:paraId="5A33BA62" w14:textId="77777777" w:rsidR="005A11E4" w:rsidRPr="00350CD4" w:rsidRDefault="005A11E4" w:rsidP="00B71733">
            <w:pPr>
              <w:rPr>
                <w:rFonts w:asciiTheme="minorHAnsi" w:eastAsia="Calibri" w:hAnsiTheme="minorHAnsi" w:cstheme="minorHAnsi"/>
                <w:b/>
                <w:sz w:val="20"/>
                <w:szCs w:val="20"/>
                <w:lang w:eastAsia="sl-SI"/>
              </w:rPr>
            </w:pPr>
            <w:r w:rsidRPr="00350CD4">
              <w:rPr>
                <w:rFonts w:asciiTheme="minorHAnsi" w:eastAsia="Calibri" w:hAnsiTheme="minorHAnsi" w:cstheme="minorHAnsi"/>
                <w:b/>
                <w:sz w:val="20"/>
                <w:szCs w:val="20"/>
                <w:lang w:eastAsia="sl-SI"/>
              </w:rPr>
              <w:t xml:space="preserve">Reference nosilca / Course coordinator's references: </w:t>
            </w:r>
          </w:p>
        </w:tc>
      </w:tr>
      <w:tr w:rsidR="003C52BE" w:rsidRPr="003C52BE" w14:paraId="11013034" w14:textId="77777777" w:rsidTr="007D7287">
        <w:trPr>
          <w:trHeight w:val="20"/>
        </w:trPr>
        <w:tc>
          <w:tcPr>
            <w:tcW w:w="9690" w:type="dxa"/>
            <w:tcBorders>
              <w:top w:val="single" w:sz="4" w:space="0" w:color="auto"/>
              <w:left w:val="single" w:sz="4" w:space="0" w:color="auto"/>
              <w:bottom w:val="single" w:sz="4" w:space="0" w:color="auto"/>
              <w:right w:val="single" w:sz="4" w:space="0" w:color="auto"/>
            </w:tcBorders>
          </w:tcPr>
          <w:p w14:paraId="11531509" w14:textId="6A31949F" w:rsidR="007747BF" w:rsidRPr="003C52BE" w:rsidRDefault="007747BF"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OTHMAN, Alaa, ELGAZZAR, Sara, KNEZ, Matjaž. A framework for adopting a sustainable smart sea port index. Sustainability. Apr. 2022, vol. 14, iss. 8, str. [1]-26, ilustr. ISSN 2071-1050. </w:t>
            </w:r>
            <w:hyperlink r:id="rId10" w:tgtFrame="_blank" w:history="1">
              <w:r w:rsidRPr="003C52BE">
                <w:rPr>
                  <w:rFonts w:asciiTheme="minorHAnsi" w:hAnsiTheme="minorHAnsi" w:cstheme="minorHAnsi"/>
                  <w:color w:val="000000" w:themeColor="text1"/>
                  <w:sz w:val="20"/>
                  <w:szCs w:val="20"/>
                </w:rPr>
                <w:t>https://doi.org/10.3390/su14084551</w:t>
              </w:r>
            </w:hyperlink>
            <w:r w:rsidRPr="003C52BE">
              <w:rPr>
                <w:rFonts w:asciiTheme="minorHAnsi" w:hAnsiTheme="minorHAnsi" w:cstheme="minorHAnsi"/>
                <w:color w:val="000000" w:themeColor="text1"/>
                <w:sz w:val="20"/>
                <w:szCs w:val="20"/>
              </w:rPr>
              <w:t>, DOI: </w:t>
            </w:r>
            <w:hyperlink r:id="rId11" w:tgtFrame="_blank" w:history="1">
              <w:r w:rsidRPr="003C52BE">
                <w:rPr>
                  <w:rFonts w:asciiTheme="minorHAnsi" w:hAnsiTheme="minorHAnsi" w:cstheme="minorHAnsi"/>
                  <w:color w:val="000000" w:themeColor="text1"/>
                  <w:sz w:val="20"/>
                  <w:szCs w:val="20"/>
                </w:rPr>
                <w:t>10.3390/su14084551</w:t>
              </w:r>
            </w:hyperlink>
            <w:r w:rsidRPr="003C52BE">
              <w:rPr>
                <w:rFonts w:asciiTheme="minorHAnsi" w:hAnsiTheme="minorHAnsi" w:cstheme="minorHAnsi"/>
                <w:color w:val="000000" w:themeColor="text1"/>
                <w:sz w:val="20"/>
                <w:szCs w:val="20"/>
              </w:rPr>
              <w:t>. [COBISS.SI-ID </w:t>
            </w:r>
            <w:hyperlink r:id="rId12" w:tgtFrame="_blank" w:history="1">
              <w:r w:rsidRPr="003C52BE">
                <w:rPr>
                  <w:rFonts w:asciiTheme="minorHAnsi" w:hAnsiTheme="minorHAnsi" w:cstheme="minorHAnsi"/>
                  <w:color w:val="000000" w:themeColor="text1"/>
                  <w:sz w:val="20"/>
                  <w:szCs w:val="20"/>
                </w:rPr>
                <w:t>105118467</w:t>
              </w:r>
            </w:hyperlink>
            <w:r w:rsidRPr="003C52BE">
              <w:rPr>
                <w:rFonts w:asciiTheme="minorHAnsi" w:hAnsiTheme="minorHAnsi" w:cstheme="minorHAnsi"/>
                <w:color w:val="000000" w:themeColor="text1"/>
                <w:sz w:val="20"/>
                <w:szCs w:val="20"/>
              </w:rPr>
              <w:t>]</w:t>
            </w:r>
            <w:r w:rsidR="003C52BE" w:rsidRPr="003C52BE">
              <w:rPr>
                <w:rFonts w:asciiTheme="minorHAnsi" w:hAnsiTheme="minorHAnsi" w:cstheme="minorHAnsi"/>
                <w:color w:val="000000" w:themeColor="text1"/>
                <w:sz w:val="20"/>
                <w:szCs w:val="20"/>
              </w:rPr>
              <w:t>.</w:t>
            </w:r>
          </w:p>
          <w:p w14:paraId="5D7872BE" w14:textId="3010E0BB" w:rsidR="007747BF" w:rsidRPr="003C52BE" w:rsidRDefault="007747BF"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HASSANIN, Islam, KNEZ, Matjaž. Managing supply chain activities in the field of energy production focusing on renewables. Sustainability. Jun. 2022, vol. 14, iss. 12, str. 1-33, ilustr. ISSN 2071-1050. </w:t>
            </w:r>
            <w:hyperlink r:id="rId13" w:tgtFrame="_blank" w:history="1">
              <w:r w:rsidRPr="003C52BE">
                <w:rPr>
                  <w:rFonts w:asciiTheme="minorHAnsi" w:hAnsiTheme="minorHAnsi" w:cstheme="minorHAnsi"/>
                  <w:color w:val="000000" w:themeColor="text1"/>
                  <w:sz w:val="20"/>
                  <w:szCs w:val="20"/>
                </w:rPr>
                <w:t>https://www.mdpi.com/2071-1050/14/12/7290</w:t>
              </w:r>
            </w:hyperlink>
            <w:r w:rsidRPr="003C52BE">
              <w:rPr>
                <w:rFonts w:asciiTheme="minorHAnsi" w:hAnsiTheme="minorHAnsi" w:cstheme="minorHAnsi"/>
                <w:color w:val="000000" w:themeColor="text1"/>
                <w:sz w:val="20"/>
                <w:szCs w:val="20"/>
              </w:rPr>
              <w:t>, DOI: </w:t>
            </w:r>
            <w:hyperlink r:id="rId14" w:tgtFrame="_blank" w:history="1">
              <w:r w:rsidRPr="003C52BE">
                <w:rPr>
                  <w:rFonts w:asciiTheme="minorHAnsi" w:hAnsiTheme="minorHAnsi" w:cstheme="minorHAnsi"/>
                  <w:color w:val="000000" w:themeColor="text1"/>
                  <w:sz w:val="20"/>
                  <w:szCs w:val="20"/>
                </w:rPr>
                <w:t>10.3390/su14127290</w:t>
              </w:r>
            </w:hyperlink>
            <w:r w:rsidRPr="003C52BE">
              <w:rPr>
                <w:rFonts w:asciiTheme="minorHAnsi" w:hAnsiTheme="minorHAnsi" w:cstheme="minorHAnsi"/>
                <w:color w:val="000000" w:themeColor="text1"/>
                <w:sz w:val="20"/>
                <w:szCs w:val="20"/>
              </w:rPr>
              <w:t>.</w:t>
            </w:r>
          </w:p>
          <w:p w14:paraId="6F33B583" w14:textId="2ED689C5" w:rsidR="007D7287" w:rsidRPr="003C52BE" w:rsidRDefault="007D7287" w:rsidP="003C52BE">
            <w:pPr>
              <w:jc w:val="both"/>
              <w:rPr>
                <w:rFonts w:asciiTheme="minorHAnsi" w:hAnsiTheme="minorHAnsi" w:cstheme="minorHAnsi"/>
                <w:color w:val="000000" w:themeColor="text1"/>
                <w:sz w:val="20"/>
                <w:szCs w:val="20"/>
              </w:rPr>
            </w:pPr>
            <w:bookmarkStart w:id="0" w:name="1"/>
            <w:bookmarkEnd w:id="0"/>
            <w:r w:rsidRPr="003C52BE">
              <w:rPr>
                <w:rFonts w:asciiTheme="minorHAnsi" w:hAnsiTheme="minorHAnsi" w:cstheme="minorHAnsi"/>
                <w:color w:val="000000" w:themeColor="text1"/>
                <w:sz w:val="20"/>
                <w:szCs w:val="20"/>
              </w:rPr>
              <w:lastRenderedPageBreak/>
              <w:t xml:space="preserve">KNEZ, Matjaž, MUNEER, Tariq, JEREB, Borut, CULLINANE, Kevin. The estimation of a driving cycle for Celje and a comparison to other European cities. Sustainable cities and society, ISSN 2210-6715. [Spletna izd.], Feb. 2014, vol. 11, str. 56-60, doi: </w:t>
            </w:r>
            <w:hyperlink r:id="rId15" w:tgtFrame="doi" w:history="1">
              <w:r w:rsidRPr="003C52BE">
                <w:rPr>
                  <w:rFonts w:asciiTheme="minorHAnsi" w:hAnsiTheme="minorHAnsi" w:cstheme="minorHAnsi"/>
                  <w:color w:val="000000" w:themeColor="text1"/>
                  <w:sz w:val="20"/>
                  <w:szCs w:val="20"/>
                </w:rPr>
                <w:t>10.1016/j.scs.2013.11.010</w:t>
              </w:r>
            </w:hyperlink>
            <w:r w:rsidRPr="003C52BE">
              <w:rPr>
                <w:rFonts w:asciiTheme="minorHAnsi" w:hAnsiTheme="minorHAnsi" w:cstheme="minorHAnsi"/>
                <w:color w:val="000000" w:themeColor="text1"/>
                <w:sz w:val="20"/>
                <w:szCs w:val="20"/>
              </w:rPr>
              <w:t xml:space="preserve">. [COBISS.SI-ID </w:t>
            </w:r>
            <w:hyperlink r:id="rId16" w:tgtFrame="_blank" w:history="1">
              <w:r w:rsidRPr="003C52BE">
                <w:rPr>
                  <w:rFonts w:asciiTheme="minorHAnsi" w:hAnsiTheme="minorHAnsi" w:cstheme="minorHAnsi"/>
                  <w:color w:val="000000" w:themeColor="text1"/>
                  <w:sz w:val="20"/>
                  <w:szCs w:val="20"/>
                </w:rPr>
                <w:t>512556349</w:t>
              </w:r>
            </w:hyperlink>
            <w:r w:rsidRPr="003C52BE">
              <w:rPr>
                <w:rFonts w:asciiTheme="minorHAnsi" w:hAnsiTheme="minorHAnsi" w:cstheme="minorHAnsi"/>
                <w:color w:val="000000" w:themeColor="text1"/>
                <w:sz w:val="20"/>
                <w:szCs w:val="20"/>
              </w:rPr>
              <w:t>].</w:t>
            </w:r>
          </w:p>
          <w:p w14:paraId="2DC75F92" w14:textId="2876975E" w:rsidR="007D7287" w:rsidRPr="003C52BE" w:rsidRDefault="007D7287"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 xml:space="preserve">KNEZ, Matjaž, JEREB, Borut, OBRECHT, Matevž. Factors influencing the purchasing decisions of low emission cars : a study of Slovenia. Transportation research. Part D, Transport and environment, ISSN 1361-9209. [Print ed.], July 2014, vol. 30, str. 53-61. </w:t>
            </w:r>
            <w:hyperlink r:id="rId17" w:history="1">
              <w:r w:rsidRPr="003C52BE">
                <w:rPr>
                  <w:rFonts w:asciiTheme="minorHAnsi" w:hAnsiTheme="minorHAnsi" w:cstheme="minorHAnsi"/>
                  <w:color w:val="000000" w:themeColor="text1"/>
                  <w:sz w:val="20"/>
                  <w:szCs w:val="20"/>
                </w:rPr>
                <w:t>http://www.sciencedirect.com/science/article/pii/S1361920914000339</w:t>
              </w:r>
            </w:hyperlink>
            <w:r w:rsidRPr="003C52BE">
              <w:rPr>
                <w:rFonts w:asciiTheme="minorHAnsi" w:hAnsiTheme="minorHAnsi" w:cstheme="minorHAnsi"/>
                <w:color w:val="000000" w:themeColor="text1"/>
                <w:sz w:val="20"/>
                <w:szCs w:val="20"/>
              </w:rPr>
              <w:t xml:space="preserve">, doi: </w:t>
            </w:r>
            <w:hyperlink r:id="rId18" w:tgtFrame="doi" w:history="1">
              <w:r w:rsidRPr="003C52BE">
                <w:rPr>
                  <w:rFonts w:asciiTheme="minorHAnsi" w:hAnsiTheme="minorHAnsi" w:cstheme="minorHAnsi"/>
                  <w:color w:val="000000" w:themeColor="text1"/>
                  <w:sz w:val="20"/>
                  <w:szCs w:val="20"/>
                </w:rPr>
                <w:t>10.1016/j.trd.2014.05.007</w:t>
              </w:r>
            </w:hyperlink>
            <w:r w:rsidRPr="003C52BE">
              <w:rPr>
                <w:rFonts w:asciiTheme="minorHAnsi" w:hAnsiTheme="minorHAnsi" w:cstheme="minorHAnsi"/>
                <w:color w:val="000000" w:themeColor="text1"/>
                <w:sz w:val="20"/>
                <w:szCs w:val="20"/>
              </w:rPr>
              <w:t xml:space="preserve">. [COBISS.SI-ID </w:t>
            </w:r>
            <w:hyperlink r:id="rId19" w:tgtFrame="_blank" w:history="1">
              <w:r w:rsidRPr="003C52BE">
                <w:rPr>
                  <w:rFonts w:asciiTheme="minorHAnsi" w:hAnsiTheme="minorHAnsi" w:cstheme="minorHAnsi"/>
                  <w:color w:val="000000" w:themeColor="text1"/>
                  <w:sz w:val="20"/>
                  <w:szCs w:val="20"/>
                </w:rPr>
                <w:t>512566077</w:t>
              </w:r>
            </w:hyperlink>
            <w:r w:rsidRPr="003C52BE">
              <w:rPr>
                <w:rFonts w:asciiTheme="minorHAnsi" w:hAnsiTheme="minorHAnsi" w:cstheme="minorHAnsi"/>
                <w:color w:val="000000" w:themeColor="text1"/>
                <w:sz w:val="20"/>
                <w:szCs w:val="20"/>
              </w:rPr>
              <w:t>].</w:t>
            </w:r>
          </w:p>
          <w:p w14:paraId="1EABA970" w14:textId="7C89EBD4" w:rsidR="00C268BE" w:rsidRPr="003C52BE" w:rsidRDefault="007D7287"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 xml:space="preserve">MUNEER, Tariq, MILLIGAN, Ross, SMITH, Ian, DOYLE, Aisling, POZUELO, Miguel, KNEZ, Matjaž. Energetic, environmental and economic performance of electric vehicles : experimental evaluation. Transportation research. Part D, Transport and environment, ISSN 1361-9209. [Print ed.], 2015, vol. 35, no. [1], str. 40-61. </w:t>
            </w:r>
            <w:hyperlink r:id="rId20" w:history="1">
              <w:r w:rsidRPr="003C52BE">
                <w:rPr>
                  <w:rFonts w:asciiTheme="minorHAnsi" w:hAnsiTheme="minorHAnsi" w:cstheme="minorHAnsi"/>
                  <w:color w:val="000000" w:themeColor="text1"/>
                  <w:sz w:val="20"/>
                  <w:szCs w:val="20"/>
                </w:rPr>
                <w:t>http://www.sciencedirect.com/science/article/pii/S1361920914001783</w:t>
              </w:r>
            </w:hyperlink>
            <w:r w:rsidRPr="003C52BE">
              <w:rPr>
                <w:rFonts w:asciiTheme="minorHAnsi" w:hAnsiTheme="minorHAnsi" w:cstheme="minorHAnsi"/>
                <w:color w:val="000000" w:themeColor="text1"/>
                <w:sz w:val="20"/>
                <w:szCs w:val="20"/>
              </w:rPr>
              <w:t xml:space="preserve">, doi: </w:t>
            </w:r>
            <w:hyperlink r:id="rId21" w:tgtFrame="doi" w:history="1">
              <w:r w:rsidRPr="003C52BE">
                <w:rPr>
                  <w:rFonts w:asciiTheme="minorHAnsi" w:hAnsiTheme="minorHAnsi" w:cstheme="minorHAnsi"/>
                  <w:color w:val="000000" w:themeColor="text1"/>
                  <w:sz w:val="20"/>
                  <w:szCs w:val="20"/>
                </w:rPr>
                <w:t>10.1016/j.trd.2014.11.015</w:t>
              </w:r>
            </w:hyperlink>
            <w:r w:rsidRPr="003C52BE">
              <w:rPr>
                <w:rFonts w:asciiTheme="minorHAnsi" w:hAnsiTheme="minorHAnsi" w:cstheme="minorHAnsi"/>
                <w:color w:val="000000" w:themeColor="text1"/>
                <w:sz w:val="20"/>
                <w:szCs w:val="20"/>
              </w:rPr>
              <w:t xml:space="preserve">. [COBISS.SI-ID </w:t>
            </w:r>
            <w:hyperlink r:id="rId22" w:tgtFrame="_blank" w:history="1">
              <w:r w:rsidRPr="003C52BE">
                <w:rPr>
                  <w:rFonts w:asciiTheme="minorHAnsi" w:hAnsiTheme="minorHAnsi" w:cstheme="minorHAnsi"/>
                  <w:color w:val="000000" w:themeColor="text1"/>
                  <w:sz w:val="20"/>
                  <w:szCs w:val="20"/>
                </w:rPr>
                <w:t>512609853</w:t>
              </w:r>
            </w:hyperlink>
            <w:r w:rsidRPr="003C52BE">
              <w:rPr>
                <w:rFonts w:asciiTheme="minorHAnsi" w:hAnsiTheme="minorHAnsi" w:cstheme="minorHAnsi"/>
                <w:color w:val="000000" w:themeColor="text1"/>
                <w:sz w:val="20"/>
                <w:szCs w:val="20"/>
              </w:rPr>
              <w:t>].</w:t>
            </w:r>
          </w:p>
          <w:p w14:paraId="3EB2036D" w14:textId="77777777" w:rsidR="00FA77A4" w:rsidRPr="003C52BE" w:rsidRDefault="00FA77A4"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KRAMAR, Uroš, KNEZ, Matjaž. Gamified learning for sustainability : an innovative approach to enhance hydrogen literacy and environmental awareness through simulation-based education. </w:t>
            </w:r>
            <w:r w:rsidRPr="003C52BE">
              <w:rPr>
                <w:rFonts w:asciiTheme="minorHAnsi" w:hAnsiTheme="minorHAnsi" w:cstheme="minorHAnsi"/>
                <w:i/>
                <w:iCs/>
                <w:color w:val="000000" w:themeColor="text1"/>
                <w:sz w:val="20"/>
                <w:szCs w:val="20"/>
              </w:rPr>
              <w:t>Sustainability</w:t>
            </w:r>
            <w:r w:rsidRPr="003C52BE">
              <w:rPr>
                <w:rFonts w:asciiTheme="minorHAnsi" w:hAnsiTheme="minorHAnsi" w:cstheme="minorHAnsi"/>
                <w:color w:val="000000" w:themeColor="text1"/>
                <w:sz w:val="20"/>
                <w:szCs w:val="20"/>
              </w:rPr>
              <w:t>. 2025, 17, 6, [article no.] 2694, 25 str., graf. prikazi. ISSN 2071-1050. </w:t>
            </w:r>
            <w:hyperlink r:id="rId23" w:tgtFrame="_blank" w:history="1">
              <w:r w:rsidRPr="003C52BE">
                <w:rPr>
                  <w:rStyle w:val="Hiperpovezava"/>
                  <w:rFonts w:asciiTheme="minorHAnsi" w:hAnsiTheme="minorHAnsi" w:cstheme="minorHAnsi"/>
                  <w:color w:val="000000" w:themeColor="text1"/>
                  <w:sz w:val="20"/>
                  <w:szCs w:val="20"/>
                </w:rPr>
                <w:t>https://www.mdpi.com/2071-1050/17/6/2694</w:t>
              </w:r>
            </w:hyperlink>
            <w:r w:rsidRPr="003C52BE">
              <w:rPr>
                <w:rFonts w:asciiTheme="minorHAnsi" w:hAnsiTheme="minorHAnsi" w:cstheme="minorHAnsi"/>
                <w:color w:val="000000" w:themeColor="text1"/>
                <w:sz w:val="20"/>
                <w:szCs w:val="20"/>
              </w:rPr>
              <w:t>, </w:t>
            </w:r>
            <w:hyperlink r:id="rId24" w:tgtFrame="_blank" w:history="1">
              <w:r w:rsidRPr="003C52BE">
                <w:rPr>
                  <w:rStyle w:val="Hiperpovezava"/>
                  <w:rFonts w:asciiTheme="minorHAnsi" w:hAnsiTheme="minorHAnsi" w:cstheme="minorHAnsi"/>
                  <w:color w:val="000000" w:themeColor="text1"/>
                  <w:sz w:val="20"/>
                  <w:szCs w:val="20"/>
                </w:rPr>
                <w:t>Digitalna knjižnica Univerze v Mariboru – DKUM</w:t>
              </w:r>
            </w:hyperlink>
            <w:r w:rsidRPr="003C52BE">
              <w:rPr>
                <w:rFonts w:asciiTheme="minorHAnsi" w:hAnsiTheme="minorHAnsi" w:cstheme="minorHAnsi"/>
                <w:color w:val="000000" w:themeColor="text1"/>
                <w:sz w:val="20"/>
                <w:szCs w:val="20"/>
              </w:rPr>
              <w:t>, DOI: </w:t>
            </w:r>
            <w:hyperlink r:id="rId25" w:tgtFrame="_blank" w:history="1">
              <w:r w:rsidRPr="003C52BE">
                <w:rPr>
                  <w:rStyle w:val="Hiperpovezava"/>
                  <w:rFonts w:asciiTheme="minorHAnsi" w:hAnsiTheme="minorHAnsi" w:cstheme="minorHAnsi"/>
                  <w:color w:val="000000" w:themeColor="text1"/>
                  <w:sz w:val="20"/>
                  <w:szCs w:val="20"/>
                </w:rPr>
                <w:t>10.3390/su17062694</w:t>
              </w:r>
            </w:hyperlink>
            <w:r w:rsidRPr="003C52BE">
              <w:rPr>
                <w:rFonts w:asciiTheme="minorHAnsi" w:hAnsiTheme="minorHAnsi" w:cstheme="minorHAnsi"/>
                <w:color w:val="000000" w:themeColor="text1"/>
                <w:sz w:val="20"/>
                <w:szCs w:val="20"/>
              </w:rPr>
              <w:t>. [COBISS.SI-ID </w:t>
            </w:r>
            <w:hyperlink r:id="rId26" w:tgtFrame="_blank" w:history="1">
              <w:r w:rsidRPr="003C52BE">
                <w:rPr>
                  <w:rStyle w:val="Hiperpovezava"/>
                  <w:rFonts w:asciiTheme="minorHAnsi" w:hAnsiTheme="minorHAnsi" w:cstheme="minorHAnsi"/>
                  <w:color w:val="000000" w:themeColor="text1"/>
                  <w:sz w:val="20"/>
                  <w:szCs w:val="20"/>
                </w:rPr>
                <w:t>233133315</w:t>
              </w:r>
            </w:hyperlink>
            <w:r w:rsidRPr="003C52BE">
              <w:rPr>
                <w:rFonts w:asciiTheme="minorHAnsi" w:hAnsiTheme="minorHAnsi" w:cstheme="minorHAnsi"/>
                <w:color w:val="000000" w:themeColor="text1"/>
                <w:sz w:val="20"/>
                <w:szCs w:val="20"/>
              </w:rPr>
              <w:t>].</w:t>
            </w:r>
          </w:p>
          <w:p w14:paraId="41AC7B40" w14:textId="4E3A51D3" w:rsidR="00C268BE" w:rsidRPr="003C52BE" w:rsidRDefault="00C268BE" w:rsidP="003C52BE">
            <w:pPr>
              <w:jc w:val="both"/>
              <w:rPr>
                <w:rFonts w:asciiTheme="minorHAnsi" w:hAnsiTheme="minorHAnsi" w:cstheme="minorHAnsi"/>
                <w:color w:val="000000" w:themeColor="text1"/>
                <w:sz w:val="20"/>
                <w:szCs w:val="20"/>
              </w:rPr>
            </w:pPr>
            <w:r w:rsidRPr="003C52BE">
              <w:rPr>
                <w:rFonts w:asciiTheme="minorHAnsi" w:hAnsiTheme="minorHAnsi" w:cstheme="minorHAnsi"/>
                <w:color w:val="000000" w:themeColor="text1"/>
                <w:sz w:val="20"/>
                <w:szCs w:val="20"/>
              </w:rPr>
              <w:t>OBRECHT, Matevž, YANGINLAR, Gözde, KLIMECKA-TATAR, Dorota, KNEZ, Matjaž. Sustainable transportation perspective: how our preferences for zero-emission vehicles change through time?. </w:t>
            </w:r>
            <w:r w:rsidRPr="003C52BE">
              <w:rPr>
                <w:rFonts w:asciiTheme="minorHAnsi" w:hAnsiTheme="minorHAnsi" w:cstheme="minorHAnsi"/>
                <w:i/>
                <w:iCs/>
                <w:color w:val="000000" w:themeColor="text1"/>
                <w:sz w:val="20"/>
                <w:szCs w:val="20"/>
              </w:rPr>
              <w:t>Production Engineering Archives</w:t>
            </w:r>
            <w:r w:rsidRPr="003C52BE">
              <w:rPr>
                <w:rFonts w:asciiTheme="minorHAnsi" w:hAnsiTheme="minorHAnsi" w:cstheme="minorHAnsi"/>
                <w:color w:val="000000" w:themeColor="text1"/>
                <w:sz w:val="20"/>
                <w:szCs w:val="20"/>
              </w:rPr>
              <w:t>. Jun. 2024, vol. 30, issue 2, str. 214-224, ilustr. ISSN 2353-5156. </w:t>
            </w:r>
            <w:hyperlink r:id="rId27" w:tgtFrame="_blank" w:history="1">
              <w:r w:rsidRPr="003C52BE">
                <w:rPr>
                  <w:rStyle w:val="Hiperpovezava"/>
                  <w:rFonts w:asciiTheme="minorHAnsi" w:hAnsiTheme="minorHAnsi" w:cstheme="minorHAnsi"/>
                  <w:color w:val="000000" w:themeColor="text1"/>
                  <w:sz w:val="20"/>
                  <w:szCs w:val="20"/>
                </w:rPr>
                <w:t>https://sciendo.com/article/10.30657/pea.2024.30.20</w:t>
              </w:r>
            </w:hyperlink>
            <w:r w:rsidRPr="003C52BE">
              <w:rPr>
                <w:rFonts w:asciiTheme="minorHAnsi" w:hAnsiTheme="minorHAnsi" w:cstheme="minorHAnsi"/>
                <w:color w:val="000000" w:themeColor="text1"/>
                <w:sz w:val="20"/>
                <w:szCs w:val="20"/>
              </w:rPr>
              <w:t>, </w:t>
            </w:r>
            <w:hyperlink r:id="rId28" w:tgtFrame="_blank" w:history="1">
              <w:r w:rsidRPr="003C52BE">
                <w:rPr>
                  <w:rStyle w:val="Hiperpovezava"/>
                  <w:rFonts w:asciiTheme="minorHAnsi" w:hAnsiTheme="minorHAnsi" w:cstheme="minorHAnsi"/>
                  <w:color w:val="000000" w:themeColor="text1"/>
                  <w:sz w:val="20"/>
                  <w:szCs w:val="20"/>
                </w:rPr>
                <w:t>Digitalna knjižnica Univerze v Mariboru – DKUM</w:t>
              </w:r>
            </w:hyperlink>
            <w:r w:rsidRPr="003C52BE">
              <w:rPr>
                <w:rFonts w:asciiTheme="minorHAnsi" w:hAnsiTheme="minorHAnsi" w:cstheme="minorHAnsi"/>
                <w:color w:val="000000" w:themeColor="text1"/>
                <w:sz w:val="20"/>
                <w:szCs w:val="20"/>
              </w:rPr>
              <w:t>, DOI: </w:t>
            </w:r>
            <w:hyperlink r:id="rId29" w:tgtFrame="_blank" w:history="1">
              <w:r w:rsidRPr="003C52BE">
                <w:rPr>
                  <w:rStyle w:val="Hiperpovezava"/>
                  <w:rFonts w:asciiTheme="minorHAnsi" w:hAnsiTheme="minorHAnsi" w:cstheme="minorHAnsi"/>
                  <w:color w:val="000000" w:themeColor="text1"/>
                  <w:sz w:val="20"/>
                  <w:szCs w:val="20"/>
                </w:rPr>
                <w:t>10.30657/pea.2024.30.20</w:t>
              </w:r>
            </w:hyperlink>
            <w:r w:rsidRPr="003C52BE">
              <w:rPr>
                <w:rFonts w:asciiTheme="minorHAnsi" w:hAnsiTheme="minorHAnsi" w:cstheme="minorHAnsi"/>
                <w:color w:val="000000" w:themeColor="text1"/>
                <w:sz w:val="20"/>
                <w:szCs w:val="20"/>
              </w:rPr>
              <w:t>. [COBISS.SI-ID </w:t>
            </w:r>
            <w:hyperlink r:id="rId30" w:tgtFrame="_blank" w:history="1">
              <w:r w:rsidRPr="003C52BE">
                <w:rPr>
                  <w:rStyle w:val="Hiperpovezava"/>
                  <w:rFonts w:asciiTheme="minorHAnsi" w:hAnsiTheme="minorHAnsi" w:cstheme="minorHAnsi"/>
                  <w:color w:val="000000" w:themeColor="text1"/>
                  <w:sz w:val="20"/>
                  <w:szCs w:val="20"/>
                </w:rPr>
                <w:t>202588675</w:t>
              </w:r>
            </w:hyperlink>
            <w:r w:rsidRPr="003C52BE">
              <w:rPr>
                <w:rFonts w:asciiTheme="minorHAnsi" w:hAnsiTheme="minorHAnsi" w:cstheme="minorHAnsi"/>
                <w:color w:val="000000" w:themeColor="text1"/>
                <w:sz w:val="20"/>
                <w:szCs w:val="20"/>
              </w:rPr>
              <w:t>].</w:t>
            </w:r>
          </w:p>
        </w:tc>
      </w:tr>
    </w:tbl>
    <w:p w14:paraId="2B55261E" w14:textId="77777777" w:rsidR="005A11E4" w:rsidRPr="00350CD4" w:rsidRDefault="005A11E4" w:rsidP="005A11E4">
      <w:pPr>
        <w:rPr>
          <w:rFonts w:asciiTheme="minorHAnsi" w:hAnsiTheme="minorHAnsi" w:cstheme="minorHAnsi"/>
          <w:b/>
          <w:sz w:val="20"/>
          <w:szCs w:val="20"/>
        </w:rPr>
      </w:pPr>
    </w:p>
    <w:p w14:paraId="01D00855" w14:textId="77777777" w:rsidR="00F57C69" w:rsidRPr="00350CD4" w:rsidRDefault="00F57C69" w:rsidP="00A25CCF">
      <w:pPr>
        <w:pStyle w:val="Pripomba"/>
        <w:rPr>
          <w:rFonts w:cstheme="minorHAnsi"/>
          <w:color w:val="C00000"/>
          <w:sz w:val="20"/>
          <w:szCs w:val="20"/>
        </w:rPr>
      </w:pPr>
    </w:p>
    <w:sectPr w:rsidR="00F57C69" w:rsidRPr="00350CD4" w:rsidSect="00276596">
      <w:footerReference w:type="default" r:id="rId3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5F1A" w14:textId="77777777" w:rsidR="00AF1A45" w:rsidRDefault="00AF1A45" w:rsidP="00703ADE">
      <w:r>
        <w:separator/>
      </w:r>
    </w:p>
  </w:endnote>
  <w:endnote w:type="continuationSeparator" w:id="0">
    <w:p w14:paraId="4FEFB0A4" w14:textId="77777777" w:rsidR="00AF1A45" w:rsidRDefault="00AF1A45" w:rsidP="0070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1BCB6E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7D7287">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7D7287">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B281" w14:textId="77777777" w:rsidR="00AF1A45" w:rsidRDefault="00AF1A45" w:rsidP="00703ADE">
      <w:r>
        <w:separator/>
      </w:r>
    </w:p>
  </w:footnote>
  <w:footnote w:type="continuationSeparator" w:id="0">
    <w:p w14:paraId="050EA569" w14:textId="77777777" w:rsidR="00AF1A45" w:rsidRDefault="00AF1A45" w:rsidP="0070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BC8"/>
    <w:multiLevelType w:val="multilevel"/>
    <w:tmpl w:val="649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B3F5A"/>
    <w:multiLevelType w:val="multilevel"/>
    <w:tmpl w:val="65921C8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7562B79"/>
    <w:multiLevelType w:val="hybridMultilevel"/>
    <w:tmpl w:val="A028AF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9E5F9B"/>
    <w:multiLevelType w:val="hybridMultilevel"/>
    <w:tmpl w:val="4B185D2C"/>
    <w:lvl w:ilvl="0" w:tplc="8B42F8C4">
      <w:start w:val="18"/>
      <w:numFmt w:val="bullet"/>
      <w:lvlText w:val="•"/>
      <w:lvlJc w:val="left"/>
      <w:pPr>
        <w:ind w:left="360" w:hanging="360"/>
      </w:pPr>
      <w:rPr>
        <w:rFonts w:ascii="Calibri" w:eastAsia="Times New Roman"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B40B87"/>
    <w:multiLevelType w:val="multilevel"/>
    <w:tmpl w:val="FAC267C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9" w15:restartNumberingAfterBreak="0">
    <w:nsid w:val="10251B69"/>
    <w:multiLevelType w:val="hybridMultilevel"/>
    <w:tmpl w:val="61E4F408"/>
    <w:lvl w:ilvl="0" w:tplc="6BE25F4E">
      <w:start w:val="1"/>
      <w:numFmt w:val="bullet"/>
      <w:lvlText w:val="•"/>
      <w:lvlJc w:val="left"/>
      <w:pPr>
        <w:tabs>
          <w:tab w:val="num" w:pos="720"/>
        </w:tabs>
        <w:ind w:left="720" w:hanging="360"/>
      </w:pPr>
      <w:rPr>
        <w:rFonts w:ascii="Arial" w:hAnsi="Arial" w:hint="default"/>
      </w:rPr>
    </w:lvl>
    <w:lvl w:ilvl="1" w:tplc="B1DE1EEC">
      <w:start w:val="1"/>
      <w:numFmt w:val="bullet"/>
      <w:lvlText w:val="•"/>
      <w:lvlJc w:val="left"/>
      <w:pPr>
        <w:tabs>
          <w:tab w:val="num" w:pos="1440"/>
        </w:tabs>
        <w:ind w:left="1440" w:hanging="360"/>
      </w:pPr>
      <w:rPr>
        <w:rFonts w:ascii="Arial" w:hAnsi="Arial" w:hint="default"/>
      </w:rPr>
    </w:lvl>
    <w:lvl w:ilvl="2" w:tplc="92B6CB10" w:tentative="1">
      <w:start w:val="1"/>
      <w:numFmt w:val="bullet"/>
      <w:lvlText w:val="•"/>
      <w:lvlJc w:val="left"/>
      <w:pPr>
        <w:tabs>
          <w:tab w:val="num" w:pos="2160"/>
        </w:tabs>
        <w:ind w:left="2160" w:hanging="360"/>
      </w:pPr>
      <w:rPr>
        <w:rFonts w:ascii="Arial" w:hAnsi="Arial" w:hint="default"/>
      </w:rPr>
    </w:lvl>
    <w:lvl w:ilvl="3" w:tplc="D730FD02" w:tentative="1">
      <w:start w:val="1"/>
      <w:numFmt w:val="bullet"/>
      <w:lvlText w:val="•"/>
      <w:lvlJc w:val="left"/>
      <w:pPr>
        <w:tabs>
          <w:tab w:val="num" w:pos="2880"/>
        </w:tabs>
        <w:ind w:left="2880" w:hanging="360"/>
      </w:pPr>
      <w:rPr>
        <w:rFonts w:ascii="Arial" w:hAnsi="Arial" w:hint="default"/>
      </w:rPr>
    </w:lvl>
    <w:lvl w:ilvl="4" w:tplc="D17E816C" w:tentative="1">
      <w:start w:val="1"/>
      <w:numFmt w:val="bullet"/>
      <w:lvlText w:val="•"/>
      <w:lvlJc w:val="left"/>
      <w:pPr>
        <w:tabs>
          <w:tab w:val="num" w:pos="3600"/>
        </w:tabs>
        <w:ind w:left="3600" w:hanging="360"/>
      </w:pPr>
      <w:rPr>
        <w:rFonts w:ascii="Arial" w:hAnsi="Arial" w:hint="default"/>
      </w:rPr>
    </w:lvl>
    <w:lvl w:ilvl="5" w:tplc="8A02FF96" w:tentative="1">
      <w:start w:val="1"/>
      <w:numFmt w:val="bullet"/>
      <w:lvlText w:val="•"/>
      <w:lvlJc w:val="left"/>
      <w:pPr>
        <w:tabs>
          <w:tab w:val="num" w:pos="4320"/>
        </w:tabs>
        <w:ind w:left="4320" w:hanging="360"/>
      </w:pPr>
      <w:rPr>
        <w:rFonts w:ascii="Arial" w:hAnsi="Arial" w:hint="default"/>
      </w:rPr>
    </w:lvl>
    <w:lvl w:ilvl="6" w:tplc="E682991C" w:tentative="1">
      <w:start w:val="1"/>
      <w:numFmt w:val="bullet"/>
      <w:lvlText w:val="•"/>
      <w:lvlJc w:val="left"/>
      <w:pPr>
        <w:tabs>
          <w:tab w:val="num" w:pos="5040"/>
        </w:tabs>
        <w:ind w:left="5040" w:hanging="360"/>
      </w:pPr>
      <w:rPr>
        <w:rFonts w:ascii="Arial" w:hAnsi="Arial" w:hint="default"/>
      </w:rPr>
    </w:lvl>
    <w:lvl w:ilvl="7" w:tplc="2D50D0C4" w:tentative="1">
      <w:start w:val="1"/>
      <w:numFmt w:val="bullet"/>
      <w:lvlText w:val="•"/>
      <w:lvlJc w:val="left"/>
      <w:pPr>
        <w:tabs>
          <w:tab w:val="num" w:pos="5760"/>
        </w:tabs>
        <w:ind w:left="5760" w:hanging="360"/>
      </w:pPr>
      <w:rPr>
        <w:rFonts w:ascii="Arial" w:hAnsi="Arial" w:hint="default"/>
      </w:rPr>
    </w:lvl>
    <w:lvl w:ilvl="8" w:tplc="6C380A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17FF4219"/>
    <w:multiLevelType w:val="hybridMultilevel"/>
    <w:tmpl w:val="38C6635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80B18F5"/>
    <w:multiLevelType w:val="hybridMultilevel"/>
    <w:tmpl w:val="64F0A8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0A4368"/>
    <w:multiLevelType w:val="hybridMultilevel"/>
    <w:tmpl w:val="12EEAAB2"/>
    <w:lvl w:ilvl="0" w:tplc="8B42F8C4">
      <w:start w:val="1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28F27AA2"/>
    <w:multiLevelType w:val="hybridMultilevel"/>
    <w:tmpl w:val="AB72B01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C97919"/>
    <w:multiLevelType w:val="multilevel"/>
    <w:tmpl w:val="F60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F5CA7"/>
    <w:multiLevelType w:val="hybridMultilevel"/>
    <w:tmpl w:val="5EA40CD0"/>
    <w:lvl w:ilvl="0" w:tplc="0424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5860ABE"/>
    <w:multiLevelType w:val="multilevel"/>
    <w:tmpl w:val="8426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DE4BBF"/>
    <w:multiLevelType w:val="hybridMultilevel"/>
    <w:tmpl w:val="5D667500"/>
    <w:lvl w:ilvl="0" w:tplc="04240001">
      <w:start w:val="1"/>
      <w:numFmt w:val="bullet"/>
      <w:lvlText w:val=""/>
      <w:lvlJc w:val="left"/>
      <w:pPr>
        <w:tabs>
          <w:tab w:val="num" w:pos="360"/>
        </w:tabs>
        <w:ind w:left="360" w:hanging="360"/>
      </w:pPr>
      <w:rPr>
        <w:rFonts w:ascii="Symbol" w:hAnsi="Symbol" w:hint="default"/>
      </w:rPr>
    </w:lvl>
    <w:lvl w:ilvl="1" w:tplc="CA26BC04">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50310A"/>
    <w:multiLevelType w:val="hybridMultilevel"/>
    <w:tmpl w:val="F5D466BE"/>
    <w:lvl w:ilvl="0" w:tplc="8B42F8C4">
      <w:start w:val="1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3D593CC9"/>
    <w:multiLevelType w:val="hybridMultilevel"/>
    <w:tmpl w:val="5D8C5550"/>
    <w:lvl w:ilvl="0" w:tplc="4CD891DC">
      <w:start w:val="1"/>
      <w:numFmt w:val="bullet"/>
      <w:lvlText w:val=""/>
      <w:lvlJc w:val="left"/>
      <w:pPr>
        <w:tabs>
          <w:tab w:val="num" w:pos="360"/>
        </w:tabs>
        <w:ind w:left="360" w:hanging="360"/>
      </w:pPr>
      <w:rPr>
        <w:rFonts w:ascii="Symbol" w:hAnsi="Symbol" w:hint="default"/>
      </w:rPr>
    </w:lvl>
    <w:lvl w:ilvl="1" w:tplc="2DBE1FB4" w:tentative="1">
      <w:start w:val="1"/>
      <w:numFmt w:val="bullet"/>
      <w:lvlText w:val="o"/>
      <w:lvlJc w:val="left"/>
      <w:pPr>
        <w:tabs>
          <w:tab w:val="num" w:pos="1440"/>
        </w:tabs>
        <w:ind w:left="1440" w:hanging="360"/>
      </w:pPr>
      <w:rPr>
        <w:rFonts w:ascii="Courier New" w:hAnsi="Courier New" w:hint="default"/>
      </w:rPr>
    </w:lvl>
    <w:lvl w:ilvl="2" w:tplc="AB9054D2" w:tentative="1">
      <w:start w:val="1"/>
      <w:numFmt w:val="bullet"/>
      <w:lvlText w:val=""/>
      <w:lvlJc w:val="left"/>
      <w:pPr>
        <w:tabs>
          <w:tab w:val="num" w:pos="2160"/>
        </w:tabs>
        <w:ind w:left="2160" w:hanging="360"/>
      </w:pPr>
      <w:rPr>
        <w:rFonts w:ascii="Wingdings" w:hAnsi="Wingdings" w:hint="default"/>
      </w:rPr>
    </w:lvl>
    <w:lvl w:ilvl="3" w:tplc="83024ED0" w:tentative="1">
      <w:start w:val="1"/>
      <w:numFmt w:val="bullet"/>
      <w:lvlText w:val=""/>
      <w:lvlJc w:val="left"/>
      <w:pPr>
        <w:tabs>
          <w:tab w:val="num" w:pos="2880"/>
        </w:tabs>
        <w:ind w:left="2880" w:hanging="360"/>
      </w:pPr>
      <w:rPr>
        <w:rFonts w:ascii="Symbol" w:hAnsi="Symbol" w:hint="default"/>
      </w:rPr>
    </w:lvl>
    <w:lvl w:ilvl="4" w:tplc="FACE35BE" w:tentative="1">
      <w:start w:val="1"/>
      <w:numFmt w:val="bullet"/>
      <w:lvlText w:val="o"/>
      <w:lvlJc w:val="left"/>
      <w:pPr>
        <w:tabs>
          <w:tab w:val="num" w:pos="3600"/>
        </w:tabs>
        <w:ind w:left="3600" w:hanging="360"/>
      </w:pPr>
      <w:rPr>
        <w:rFonts w:ascii="Courier New" w:hAnsi="Courier New" w:hint="default"/>
      </w:rPr>
    </w:lvl>
    <w:lvl w:ilvl="5" w:tplc="0DC45E20" w:tentative="1">
      <w:start w:val="1"/>
      <w:numFmt w:val="bullet"/>
      <w:lvlText w:val=""/>
      <w:lvlJc w:val="left"/>
      <w:pPr>
        <w:tabs>
          <w:tab w:val="num" w:pos="4320"/>
        </w:tabs>
        <w:ind w:left="4320" w:hanging="360"/>
      </w:pPr>
      <w:rPr>
        <w:rFonts w:ascii="Wingdings" w:hAnsi="Wingdings" w:hint="default"/>
      </w:rPr>
    </w:lvl>
    <w:lvl w:ilvl="6" w:tplc="8DCEB1BE" w:tentative="1">
      <w:start w:val="1"/>
      <w:numFmt w:val="bullet"/>
      <w:lvlText w:val=""/>
      <w:lvlJc w:val="left"/>
      <w:pPr>
        <w:tabs>
          <w:tab w:val="num" w:pos="5040"/>
        </w:tabs>
        <w:ind w:left="5040" w:hanging="360"/>
      </w:pPr>
      <w:rPr>
        <w:rFonts w:ascii="Symbol" w:hAnsi="Symbol" w:hint="default"/>
      </w:rPr>
    </w:lvl>
    <w:lvl w:ilvl="7" w:tplc="36A6E0FC" w:tentative="1">
      <w:start w:val="1"/>
      <w:numFmt w:val="bullet"/>
      <w:lvlText w:val="o"/>
      <w:lvlJc w:val="left"/>
      <w:pPr>
        <w:tabs>
          <w:tab w:val="num" w:pos="5760"/>
        </w:tabs>
        <w:ind w:left="5760" w:hanging="360"/>
      </w:pPr>
      <w:rPr>
        <w:rFonts w:ascii="Courier New" w:hAnsi="Courier New" w:hint="default"/>
      </w:rPr>
    </w:lvl>
    <w:lvl w:ilvl="8" w:tplc="B418B33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AD4FE7"/>
    <w:multiLevelType w:val="hybridMultilevel"/>
    <w:tmpl w:val="19367952"/>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1D42FF8"/>
    <w:multiLevelType w:val="hybridMultilevel"/>
    <w:tmpl w:val="F936118A"/>
    <w:lvl w:ilvl="0" w:tplc="8B42F8C4">
      <w:start w:val="1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711254E"/>
    <w:multiLevelType w:val="hybridMultilevel"/>
    <w:tmpl w:val="B478DB2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B27C9E"/>
    <w:multiLevelType w:val="hybridMultilevel"/>
    <w:tmpl w:val="2B525D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6514E0"/>
    <w:multiLevelType w:val="hybridMultilevel"/>
    <w:tmpl w:val="FB1ACD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975EDE"/>
    <w:multiLevelType w:val="hybridMultilevel"/>
    <w:tmpl w:val="797E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552A5"/>
    <w:multiLevelType w:val="hybridMultilevel"/>
    <w:tmpl w:val="AF1EBB26"/>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48812B1"/>
    <w:multiLevelType w:val="hybridMultilevel"/>
    <w:tmpl w:val="5F5224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40"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FC17E9D"/>
    <w:multiLevelType w:val="multilevel"/>
    <w:tmpl w:val="A4F2430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35842DE"/>
    <w:multiLevelType w:val="multilevel"/>
    <w:tmpl w:val="0DF2767C"/>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739E3B64"/>
    <w:multiLevelType w:val="multilevel"/>
    <w:tmpl w:val="51E2B7C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77670919"/>
    <w:multiLevelType w:val="multilevel"/>
    <w:tmpl w:val="8998364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79D77F0D"/>
    <w:multiLevelType w:val="hybridMultilevel"/>
    <w:tmpl w:val="87AA21EA"/>
    <w:lvl w:ilvl="0" w:tplc="88F8F508">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F2D41FF"/>
    <w:multiLevelType w:val="multilevel"/>
    <w:tmpl w:val="9244B156"/>
    <w:lvl w:ilvl="0">
      <w:start w:val="1"/>
      <w:numFmt w:val="bullet"/>
      <w:lvlText w:val=""/>
      <w:lvlJc w:val="left"/>
      <w:pPr>
        <w:ind w:left="360" w:hanging="360"/>
      </w:pPr>
      <w:rPr>
        <w:rFonts w:ascii="Symbol" w:hAnsi="Symbol" w:cs="Symbol" w:hint="default"/>
        <w:b w:val="0"/>
        <w:sz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48"/>
  </w:num>
  <w:num w:numId="2">
    <w:abstractNumId w:val="11"/>
  </w:num>
  <w:num w:numId="3">
    <w:abstractNumId w:val="33"/>
  </w:num>
  <w:num w:numId="4">
    <w:abstractNumId w:val="28"/>
  </w:num>
  <w:num w:numId="5">
    <w:abstractNumId w:val="31"/>
  </w:num>
  <w:num w:numId="6">
    <w:abstractNumId w:val="16"/>
  </w:num>
  <w:num w:numId="7">
    <w:abstractNumId w:val="19"/>
  </w:num>
  <w:num w:numId="8">
    <w:abstractNumId w:val="17"/>
  </w:num>
  <w:num w:numId="9">
    <w:abstractNumId w:val="7"/>
  </w:num>
  <w:num w:numId="10">
    <w:abstractNumId w:val="40"/>
  </w:num>
  <w:num w:numId="11">
    <w:abstractNumId w:val="14"/>
  </w:num>
  <w:num w:numId="12">
    <w:abstractNumId w:val="10"/>
  </w:num>
  <w:num w:numId="13">
    <w:abstractNumId w:val="41"/>
  </w:num>
  <w:num w:numId="14">
    <w:abstractNumId w:val="15"/>
  </w:num>
  <w:num w:numId="15">
    <w:abstractNumId w:val="34"/>
  </w:num>
  <w:num w:numId="16">
    <w:abstractNumId w:val="47"/>
  </w:num>
  <w:num w:numId="17">
    <w:abstractNumId w:val="44"/>
  </w:num>
  <w:num w:numId="18">
    <w:abstractNumId w:val="43"/>
  </w:num>
  <w:num w:numId="19">
    <w:abstractNumId w:val="45"/>
  </w:num>
  <w:num w:numId="20">
    <w:abstractNumId w:val="1"/>
  </w:num>
  <w:num w:numId="21">
    <w:abstractNumId w:val="46"/>
  </w:num>
  <w:num w:numId="22">
    <w:abstractNumId w:val="5"/>
  </w:num>
  <w:num w:numId="23">
    <w:abstractNumId w:val="12"/>
  </w:num>
  <w:num w:numId="24">
    <w:abstractNumId w:val="6"/>
  </w:num>
  <w:num w:numId="25">
    <w:abstractNumId w:val="8"/>
  </w:num>
  <w:num w:numId="26">
    <w:abstractNumId w:val="4"/>
  </w:num>
  <w:num w:numId="27">
    <w:abstractNumId w:val="39"/>
  </w:num>
  <w:num w:numId="28">
    <w:abstractNumId w:val="24"/>
  </w:num>
  <w:num w:numId="29">
    <w:abstractNumId w:val="20"/>
  </w:num>
  <w:num w:numId="30">
    <w:abstractNumId w:val="38"/>
  </w:num>
  <w:num w:numId="31">
    <w:abstractNumId w:val="2"/>
  </w:num>
  <w:num w:numId="32">
    <w:abstractNumId w:val="42"/>
  </w:num>
  <w:num w:numId="33">
    <w:abstractNumId w:val="27"/>
  </w:num>
  <w:num w:numId="34">
    <w:abstractNumId w:val="37"/>
  </w:num>
  <w:num w:numId="35">
    <w:abstractNumId w:val="32"/>
  </w:num>
  <w:num w:numId="36">
    <w:abstractNumId w:val="26"/>
  </w:num>
  <w:num w:numId="37">
    <w:abstractNumId w:val="9"/>
  </w:num>
  <w:num w:numId="38">
    <w:abstractNumId w:val="21"/>
  </w:num>
  <w:num w:numId="39">
    <w:abstractNumId w:val="0"/>
  </w:num>
  <w:num w:numId="40">
    <w:abstractNumId w:val="36"/>
  </w:num>
  <w:num w:numId="41">
    <w:abstractNumId w:val="23"/>
  </w:num>
  <w:num w:numId="42">
    <w:abstractNumId w:val="13"/>
  </w:num>
  <w:num w:numId="43">
    <w:abstractNumId w:val="35"/>
  </w:num>
  <w:num w:numId="44">
    <w:abstractNumId w:val="30"/>
  </w:num>
  <w:num w:numId="45">
    <w:abstractNumId w:val="22"/>
  </w:num>
  <w:num w:numId="46">
    <w:abstractNumId w:val="18"/>
  </w:num>
  <w:num w:numId="47">
    <w:abstractNumId w:val="3"/>
  </w:num>
  <w:num w:numId="48">
    <w:abstractNumId w:val="2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3sDQ0NzY2NjM2NjVQ0lEKTi0uzszPAykwqQUAcxBs+iwAAAA="/>
  </w:docVars>
  <w:rsids>
    <w:rsidRoot w:val="00703ADE"/>
    <w:rsid w:val="00014BAA"/>
    <w:rsid w:val="0003293B"/>
    <w:rsid w:val="00036144"/>
    <w:rsid w:val="00046B40"/>
    <w:rsid w:val="00053C25"/>
    <w:rsid w:val="0006093C"/>
    <w:rsid w:val="000625CC"/>
    <w:rsid w:val="00067866"/>
    <w:rsid w:val="000761B7"/>
    <w:rsid w:val="0009073D"/>
    <w:rsid w:val="0009636B"/>
    <w:rsid w:val="000A19DD"/>
    <w:rsid w:val="000B0A40"/>
    <w:rsid w:val="000B587A"/>
    <w:rsid w:val="000B67E3"/>
    <w:rsid w:val="000B6A23"/>
    <w:rsid w:val="000E1D83"/>
    <w:rsid w:val="000E7D4E"/>
    <w:rsid w:val="000F03D7"/>
    <w:rsid w:val="000F1B74"/>
    <w:rsid w:val="000F40D2"/>
    <w:rsid w:val="000F6746"/>
    <w:rsid w:val="00103E49"/>
    <w:rsid w:val="0010411B"/>
    <w:rsid w:val="001101ED"/>
    <w:rsid w:val="001213B9"/>
    <w:rsid w:val="00131BC5"/>
    <w:rsid w:val="00135DE0"/>
    <w:rsid w:val="001577DF"/>
    <w:rsid w:val="00160EFE"/>
    <w:rsid w:val="0016104C"/>
    <w:rsid w:val="001642C0"/>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42674"/>
    <w:rsid w:val="00250591"/>
    <w:rsid w:val="00252DF2"/>
    <w:rsid w:val="002548DB"/>
    <w:rsid w:val="00273DDF"/>
    <w:rsid w:val="00276596"/>
    <w:rsid w:val="0027778B"/>
    <w:rsid w:val="002805E7"/>
    <w:rsid w:val="0028075A"/>
    <w:rsid w:val="00292898"/>
    <w:rsid w:val="002B19A5"/>
    <w:rsid w:val="002B3237"/>
    <w:rsid w:val="002B452B"/>
    <w:rsid w:val="002B668D"/>
    <w:rsid w:val="002C44F3"/>
    <w:rsid w:val="002C7000"/>
    <w:rsid w:val="002C7D0D"/>
    <w:rsid w:val="002F418C"/>
    <w:rsid w:val="002F465F"/>
    <w:rsid w:val="003037B1"/>
    <w:rsid w:val="00306BA1"/>
    <w:rsid w:val="00313323"/>
    <w:rsid w:val="003168D8"/>
    <w:rsid w:val="00317A91"/>
    <w:rsid w:val="00324BE4"/>
    <w:rsid w:val="0033062E"/>
    <w:rsid w:val="00332EA1"/>
    <w:rsid w:val="00341880"/>
    <w:rsid w:val="00344834"/>
    <w:rsid w:val="003463F9"/>
    <w:rsid w:val="00350CD4"/>
    <w:rsid w:val="00352DC7"/>
    <w:rsid w:val="00355781"/>
    <w:rsid w:val="00360075"/>
    <w:rsid w:val="00360354"/>
    <w:rsid w:val="0036175E"/>
    <w:rsid w:val="00377D01"/>
    <w:rsid w:val="003874C0"/>
    <w:rsid w:val="003950F5"/>
    <w:rsid w:val="003A25BA"/>
    <w:rsid w:val="003B7EBC"/>
    <w:rsid w:val="003C3F1B"/>
    <w:rsid w:val="003C437B"/>
    <w:rsid w:val="003C52BE"/>
    <w:rsid w:val="003C5A56"/>
    <w:rsid w:val="003C61AC"/>
    <w:rsid w:val="003D6370"/>
    <w:rsid w:val="003F0EA3"/>
    <w:rsid w:val="003F667E"/>
    <w:rsid w:val="0040317F"/>
    <w:rsid w:val="0040670E"/>
    <w:rsid w:val="004203B7"/>
    <w:rsid w:val="00425A8B"/>
    <w:rsid w:val="00435696"/>
    <w:rsid w:val="00451CC8"/>
    <w:rsid w:val="00462C0A"/>
    <w:rsid w:val="00467C3E"/>
    <w:rsid w:val="00467D47"/>
    <w:rsid w:val="0048408C"/>
    <w:rsid w:val="0049183D"/>
    <w:rsid w:val="004A073E"/>
    <w:rsid w:val="004A30A0"/>
    <w:rsid w:val="004A33B9"/>
    <w:rsid w:val="004A4DF3"/>
    <w:rsid w:val="004A69AF"/>
    <w:rsid w:val="004A7105"/>
    <w:rsid w:val="004B180D"/>
    <w:rsid w:val="004B3297"/>
    <w:rsid w:val="004B41A0"/>
    <w:rsid w:val="004B54C6"/>
    <w:rsid w:val="004B7170"/>
    <w:rsid w:val="004C1D5D"/>
    <w:rsid w:val="004C28F8"/>
    <w:rsid w:val="004C66E8"/>
    <w:rsid w:val="004D11DE"/>
    <w:rsid w:val="004F5050"/>
    <w:rsid w:val="004F5B62"/>
    <w:rsid w:val="00500DB6"/>
    <w:rsid w:val="005029C6"/>
    <w:rsid w:val="00514311"/>
    <w:rsid w:val="00525A19"/>
    <w:rsid w:val="00525BD5"/>
    <w:rsid w:val="00525C1D"/>
    <w:rsid w:val="00554989"/>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7410C"/>
    <w:rsid w:val="00683B5F"/>
    <w:rsid w:val="00685B29"/>
    <w:rsid w:val="006863A2"/>
    <w:rsid w:val="0068792F"/>
    <w:rsid w:val="0069578E"/>
    <w:rsid w:val="00697296"/>
    <w:rsid w:val="006A20F0"/>
    <w:rsid w:val="006A56C6"/>
    <w:rsid w:val="006A772B"/>
    <w:rsid w:val="006B4BA9"/>
    <w:rsid w:val="006B5AC7"/>
    <w:rsid w:val="006C734C"/>
    <w:rsid w:val="006E1095"/>
    <w:rsid w:val="006E6646"/>
    <w:rsid w:val="006E732F"/>
    <w:rsid w:val="006F2D77"/>
    <w:rsid w:val="00701B0E"/>
    <w:rsid w:val="00703ADE"/>
    <w:rsid w:val="00707193"/>
    <w:rsid w:val="00714E30"/>
    <w:rsid w:val="0072193C"/>
    <w:rsid w:val="007264DD"/>
    <w:rsid w:val="00743D06"/>
    <w:rsid w:val="0074545B"/>
    <w:rsid w:val="00754FB9"/>
    <w:rsid w:val="0076751A"/>
    <w:rsid w:val="007747BF"/>
    <w:rsid w:val="00784B83"/>
    <w:rsid w:val="0078644D"/>
    <w:rsid w:val="00792301"/>
    <w:rsid w:val="0079494D"/>
    <w:rsid w:val="007A28AA"/>
    <w:rsid w:val="007A29FA"/>
    <w:rsid w:val="007A77A3"/>
    <w:rsid w:val="007B0935"/>
    <w:rsid w:val="007C7DAA"/>
    <w:rsid w:val="007D632F"/>
    <w:rsid w:val="007D7287"/>
    <w:rsid w:val="007E49AE"/>
    <w:rsid w:val="007E5F58"/>
    <w:rsid w:val="007F2C61"/>
    <w:rsid w:val="007F4454"/>
    <w:rsid w:val="00802619"/>
    <w:rsid w:val="008102C2"/>
    <w:rsid w:val="00811EFC"/>
    <w:rsid w:val="00811FB5"/>
    <w:rsid w:val="008157D7"/>
    <w:rsid w:val="008320B1"/>
    <w:rsid w:val="00847982"/>
    <w:rsid w:val="00855585"/>
    <w:rsid w:val="00863826"/>
    <w:rsid w:val="00873A16"/>
    <w:rsid w:val="00873F0D"/>
    <w:rsid w:val="00874CA5"/>
    <w:rsid w:val="008861B9"/>
    <w:rsid w:val="008A0A06"/>
    <w:rsid w:val="008A6780"/>
    <w:rsid w:val="008A7904"/>
    <w:rsid w:val="008B2370"/>
    <w:rsid w:val="008C5AC5"/>
    <w:rsid w:val="008C735D"/>
    <w:rsid w:val="008C7A40"/>
    <w:rsid w:val="008F145E"/>
    <w:rsid w:val="009044E0"/>
    <w:rsid w:val="009060E2"/>
    <w:rsid w:val="00910644"/>
    <w:rsid w:val="00913A49"/>
    <w:rsid w:val="0091460B"/>
    <w:rsid w:val="009222E8"/>
    <w:rsid w:val="00923630"/>
    <w:rsid w:val="009322AD"/>
    <w:rsid w:val="00957F7A"/>
    <w:rsid w:val="00961B35"/>
    <w:rsid w:val="00961C9A"/>
    <w:rsid w:val="0096279B"/>
    <w:rsid w:val="00965B5C"/>
    <w:rsid w:val="009739C6"/>
    <w:rsid w:val="00991CF4"/>
    <w:rsid w:val="009958CA"/>
    <w:rsid w:val="009A486C"/>
    <w:rsid w:val="009B077A"/>
    <w:rsid w:val="009B26AB"/>
    <w:rsid w:val="009C276B"/>
    <w:rsid w:val="009D11AD"/>
    <w:rsid w:val="009D6D7A"/>
    <w:rsid w:val="009E7CBD"/>
    <w:rsid w:val="009F24ED"/>
    <w:rsid w:val="009F37EA"/>
    <w:rsid w:val="009F4070"/>
    <w:rsid w:val="00A000D4"/>
    <w:rsid w:val="00A019CC"/>
    <w:rsid w:val="00A0202D"/>
    <w:rsid w:val="00A029C5"/>
    <w:rsid w:val="00A06479"/>
    <w:rsid w:val="00A13321"/>
    <w:rsid w:val="00A25CCF"/>
    <w:rsid w:val="00A340FC"/>
    <w:rsid w:val="00A36B18"/>
    <w:rsid w:val="00A47212"/>
    <w:rsid w:val="00A52D9A"/>
    <w:rsid w:val="00A5557A"/>
    <w:rsid w:val="00A56956"/>
    <w:rsid w:val="00A604B1"/>
    <w:rsid w:val="00A719BA"/>
    <w:rsid w:val="00A722F0"/>
    <w:rsid w:val="00A81452"/>
    <w:rsid w:val="00A87467"/>
    <w:rsid w:val="00A87ADF"/>
    <w:rsid w:val="00A87CC4"/>
    <w:rsid w:val="00AA3383"/>
    <w:rsid w:val="00AC243A"/>
    <w:rsid w:val="00AC50D7"/>
    <w:rsid w:val="00AC7DE5"/>
    <w:rsid w:val="00AD663F"/>
    <w:rsid w:val="00AE647A"/>
    <w:rsid w:val="00AF1A45"/>
    <w:rsid w:val="00AF382F"/>
    <w:rsid w:val="00B01725"/>
    <w:rsid w:val="00B05658"/>
    <w:rsid w:val="00B07275"/>
    <w:rsid w:val="00B07A68"/>
    <w:rsid w:val="00B1469E"/>
    <w:rsid w:val="00B32886"/>
    <w:rsid w:val="00B413D7"/>
    <w:rsid w:val="00B41FC2"/>
    <w:rsid w:val="00B44133"/>
    <w:rsid w:val="00B63E7C"/>
    <w:rsid w:val="00B67455"/>
    <w:rsid w:val="00B70B70"/>
    <w:rsid w:val="00B733D9"/>
    <w:rsid w:val="00B8093A"/>
    <w:rsid w:val="00BC1823"/>
    <w:rsid w:val="00BC3476"/>
    <w:rsid w:val="00BC4876"/>
    <w:rsid w:val="00BC74F8"/>
    <w:rsid w:val="00BC7DC9"/>
    <w:rsid w:val="00BD50BF"/>
    <w:rsid w:val="00BE08A0"/>
    <w:rsid w:val="00BE32A6"/>
    <w:rsid w:val="00BF5A0E"/>
    <w:rsid w:val="00BF7B2D"/>
    <w:rsid w:val="00C06952"/>
    <w:rsid w:val="00C16CC3"/>
    <w:rsid w:val="00C23384"/>
    <w:rsid w:val="00C26205"/>
    <w:rsid w:val="00C268BE"/>
    <w:rsid w:val="00C31227"/>
    <w:rsid w:val="00C35629"/>
    <w:rsid w:val="00C4086F"/>
    <w:rsid w:val="00C54704"/>
    <w:rsid w:val="00C63A16"/>
    <w:rsid w:val="00C65B60"/>
    <w:rsid w:val="00C72B00"/>
    <w:rsid w:val="00C73CAE"/>
    <w:rsid w:val="00C83735"/>
    <w:rsid w:val="00C92969"/>
    <w:rsid w:val="00CB4FA1"/>
    <w:rsid w:val="00CB7916"/>
    <w:rsid w:val="00CC2E15"/>
    <w:rsid w:val="00CC7B6E"/>
    <w:rsid w:val="00CC7D6E"/>
    <w:rsid w:val="00CD3B38"/>
    <w:rsid w:val="00CD40B9"/>
    <w:rsid w:val="00CE0FA9"/>
    <w:rsid w:val="00CE20E4"/>
    <w:rsid w:val="00CE4CA3"/>
    <w:rsid w:val="00D023A0"/>
    <w:rsid w:val="00D03A4A"/>
    <w:rsid w:val="00D07034"/>
    <w:rsid w:val="00D1099E"/>
    <w:rsid w:val="00D12BC2"/>
    <w:rsid w:val="00D176A8"/>
    <w:rsid w:val="00D17CFB"/>
    <w:rsid w:val="00D216BD"/>
    <w:rsid w:val="00D36EFF"/>
    <w:rsid w:val="00D4141E"/>
    <w:rsid w:val="00D56DEF"/>
    <w:rsid w:val="00D60365"/>
    <w:rsid w:val="00D634CF"/>
    <w:rsid w:val="00D656E4"/>
    <w:rsid w:val="00D822FB"/>
    <w:rsid w:val="00D84B00"/>
    <w:rsid w:val="00D94920"/>
    <w:rsid w:val="00DC294C"/>
    <w:rsid w:val="00DD03F7"/>
    <w:rsid w:val="00DF0B31"/>
    <w:rsid w:val="00E03C39"/>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B6B47"/>
    <w:rsid w:val="00EB7E3F"/>
    <w:rsid w:val="00EC0DAE"/>
    <w:rsid w:val="00EC4757"/>
    <w:rsid w:val="00EC5F38"/>
    <w:rsid w:val="00ED74DD"/>
    <w:rsid w:val="00EF335F"/>
    <w:rsid w:val="00EF375E"/>
    <w:rsid w:val="00F02874"/>
    <w:rsid w:val="00F12416"/>
    <w:rsid w:val="00F128BD"/>
    <w:rsid w:val="00F20BFD"/>
    <w:rsid w:val="00F22DA8"/>
    <w:rsid w:val="00F23473"/>
    <w:rsid w:val="00F23940"/>
    <w:rsid w:val="00F36598"/>
    <w:rsid w:val="00F4075A"/>
    <w:rsid w:val="00F42EE7"/>
    <w:rsid w:val="00F44BC1"/>
    <w:rsid w:val="00F51390"/>
    <w:rsid w:val="00F57C69"/>
    <w:rsid w:val="00F734B4"/>
    <w:rsid w:val="00F734DA"/>
    <w:rsid w:val="00F74CD5"/>
    <w:rsid w:val="00FA00CC"/>
    <w:rsid w:val="00FA10EF"/>
    <w:rsid w:val="00FA2FAA"/>
    <w:rsid w:val="00FA7685"/>
    <w:rsid w:val="00FA77A4"/>
    <w:rsid w:val="00FA7E0F"/>
    <w:rsid w:val="00FB7865"/>
    <w:rsid w:val="00FC48BB"/>
    <w:rsid w:val="00FC4F71"/>
    <w:rsid w:val="00FD4503"/>
    <w:rsid w:val="00FD7078"/>
    <w:rsid w:val="00FE166B"/>
    <w:rsid w:val="00FE4F6B"/>
    <w:rsid w:val="00FE50A1"/>
    <w:rsid w:val="00FE5CDE"/>
    <w:rsid w:val="00FF5A25"/>
    <w:rsid w:val="02377878"/>
    <w:rsid w:val="0B44B878"/>
    <w:rsid w:val="1101E3E9"/>
    <w:rsid w:val="251E39B8"/>
    <w:rsid w:val="26EAB1CF"/>
    <w:rsid w:val="300F2F98"/>
    <w:rsid w:val="37837B56"/>
    <w:rsid w:val="38886B2C"/>
    <w:rsid w:val="4132D4C6"/>
    <w:rsid w:val="416E259B"/>
    <w:rsid w:val="46F191B2"/>
    <w:rsid w:val="55448387"/>
    <w:rsid w:val="78AAF722"/>
    <w:rsid w:val="7B62196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47BF"/>
    <w:pPr>
      <w:spacing w:after="0" w:line="240" w:lineRule="auto"/>
    </w:pPr>
    <w:rPr>
      <w:rFonts w:ascii="Times New Roman" w:eastAsia="Times New Roman" w:hAnsi="Times New Roman" w:cs="Times New Roman"/>
      <w:sz w:val="24"/>
      <w:szCs w:val="24"/>
    </w:rPr>
  </w:style>
  <w:style w:type="paragraph" w:styleId="Naslov1">
    <w:name w:val="heading 1"/>
    <w:basedOn w:val="Navaden"/>
    <w:next w:val="Navaden"/>
    <w:link w:val="Naslov1Znak"/>
    <w:uiPriority w:val="99"/>
    <w:qFormat/>
    <w:rsid w:val="00E638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cs="Arial"/>
      <w:b/>
      <w:bCs/>
      <w:iCs/>
      <w:lang w:eastAsia="sl-SI"/>
    </w:rPr>
  </w:style>
  <w:style w:type="paragraph" w:styleId="Naslov3">
    <w:name w:val="heading 3"/>
    <w:basedOn w:val="Navaden"/>
    <w:next w:val="Navaden"/>
    <w:link w:val="Naslov3Znak"/>
    <w:uiPriority w:val="99"/>
    <w:qFormat/>
    <w:rsid w:val="00E638E3"/>
    <w:pPr>
      <w:keepNext/>
      <w:numPr>
        <w:ilvl w:val="2"/>
        <w:numId w:val="25"/>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25"/>
      </w:numPr>
      <w:spacing w:before="240" w:after="60"/>
      <w:jc w:val="both"/>
      <w:outlineLvl w:val="3"/>
    </w:pPr>
    <w:rPr>
      <w:rFonts w:cs="Arial"/>
      <w:b/>
      <w:bCs/>
      <w:sz w:val="28"/>
      <w:szCs w:val="28"/>
      <w:lang w:eastAsia="sl-SI"/>
    </w:rPr>
  </w:style>
  <w:style w:type="paragraph" w:styleId="Naslov5">
    <w:name w:val="heading 5"/>
    <w:basedOn w:val="Navaden"/>
    <w:next w:val="Navaden"/>
    <w:link w:val="Naslov5Znak"/>
    <w:uiPriority w:val="99"/>
    <w:qFormat/>
    <w:rsid w:val="00E638E3"/>
    <w:pPr>
      <w:numPr>
        <w:ilvl w:val="4"/>
        <w:numId w:val="25"/>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25"/>
      </w:numPr>
      <w:spacing w:before="240" w:after="60"/>
      <w:jc w:val="both"/>
      <w:outlineLvl w:val="5"/>
    </w:pPr>
    <w:rPr>
      <w:rFonts w:cs="Arial"/>
      <w:b/>
      <w:bCs/>
      <w:sz w:val="20"/>
      <w:szCs w:val="20"/>
      <w:lang w:eastAsia="sl-SI"/>
    </w:rPr>
  </w:style>
  <w:style w:type="paragraph" w:styleId="Naslov7">
    <w:name w:val="heading 7"/>
    <w:basedOn w:val="Navaden"/>
    <w:next w:val="Navaden"/>
    <w:link w:val="Naslov7Znak"/>
    <w:uiPriority w:val="99"/>
    <w:qFormat/>
    <w:rsid w:val="00E638E3"/>
    <w:pPr>
      <w:numPr>
        <w:ilvl w:val="6"/>
        <w:numId w:val="25"/>
      </w:numPr>
      <w:spacing w:before="240" w:after="60"/>
      <w:jc w:val="both"/>
      <w:outlineLvl w:val="6"/>
    </w:pPr>
    <w:rPr>
      <w:rFonts w:cs="Arial"/>
      <w:b/>
      <w:lang w:eastAsia="sl-SI"/>
    </w:rPr>
  </w:style>
  <w:style w:type="paragraph" w:styleId="Naslov8">
    <w:name w:val="heading 8"/>
    <w:basedOn w:val="Navaden"/>
    <w:next w:val="Navaden"/>
    <w:link w:val="Naslov8Znak"/>
    <w:uiPriority w:val="99"/>
    <w:qFormat/>
    <w:rsid w:val="00E638E3"/>
    <w:pPr>
      <w:numPr>
        <w:ilvl w:val="7"/>
        <w:numId w:val="25"/>
      </w:numPr>
      <w:spacing w:before="240" w:after="60"/>
      <w:jc w:val="both"/>
      <w:outlineLvl w:val="7"/>
    </w:pPr>
    <w:rPr>
      <w:rFonts w:cs="Arial"/>
      <w:b/>
      <w:i/>
      <w:iCs/>
      <w:lang w:eastAsia="sl-SI"/>
    </w:rPr>
  </w:style>
  <w:style w:type="paragraph" w:styleId="Naslov9">
    <w:name w:val="heading 9"/>
    <w:basedOn w:val="Navaden"/>
    <w:next w:val="Navaden"/>
    <w:link w:val="Naslov9Znak"/>
    <w:uiPriority w:val="99"/>
    <w:qFormat/>
    <w:rsid w:val="00E638E3"/>
    <w:pPr>
      <w:numPr>
        <w:ilvl w:val="8"/>
        <w:numId w:val="25"/>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ind w:left="720"/>
      <w:contextualSpacing/>
    </w:pPr>
    <w:rPr>
      <w:rFonts w:ascii="Calibri" w:hAnsi="Calibri"/>
      <w:sz w:val="22"/>
      <w:szCs w:val="22"/>
    </w:rPr>
  </w:style>
  <w:style w:type="paragraph" w:styleId="Glava">
    <w:name w:val="header"/>
    <w:basedOn w:val="Navaden"/>
    <w:link w:val="GlavaZnak"/>
    <w:uiPriority w:val="99"/>
    <w:unhideWhenUsed/>
    <w:rsid w:val="00703ADE"/>
    <w:pPr>
      <w:tabs>
        <w:tab w:val="center" w:pos="4536"/>
        <w:tab w:val="right" w:pos="9072"/>
      </w:tabs>
    </w:pPr>
    <w:rPr>
      <w:rFonts w:ascii="Calibri" w:hAnsi="Calibri"/>
      <w:sz w:val="22"/>
      <w:szCs w:val="22"/>
    </w:r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pPr>
    <w:rPr>
      <w:rFonts w:ascii="Calibri" w:hAnsi="Calibri"/>
      <w:sz w:val="22"/>
      <w:szCs w:val="22"/>
    </w:r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sl-SI"/>
    </w:rPr>
  </w:style>
  <w:style w:type="paragraph" w:styleId="Telobesedila">
    <w:name w:val="Body Text"/>
    <w:basedOn w:val="Navaden"/>
    <w:link w:val="TelobesedilaZnak"/>
    <w:rsid w:val="00703ADE"/>
    <w:pPr>
      <w:jc w:val="both"/>
    </w:pPr>
    <w:rPr>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pPr>
      <w:spacing w:after="120"/>
    </w:pPr>
    <w:rPr>
      <w:rFonts w:ascii="Calibri" w:hAnsi="Calibri"/>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spacing w:after="120"/>
      <w:jc w:val="both"/>
    </w:pPr>
    <w:rPr>
      <w:rFonts w:asciiTheme="minorHAnsi" w:eastAsiaTheme="minorHAnsi" w:hAnsiTheme="minorHAnsi" w:cstheme="minorBidi"/>
      <w:b/>
      <w:sz w:val="22"/>
      <w:szCs w:val="22"/>
    </w:rPr>
  </w:style>
  <w:style w:type="paragraph" w:customStyle="1" w:styleId="Pripomba-Naslov">
    <w:name w:val="Pripomba-Naslov"/>
    <w:basedOn w:val="Navaden"/>
    <w:next w:val="Pripomba"/>
    <w:uiPriority w:val="1"/>
    <w:qFormat/>
    <w:rsid w:val="00F57C69"/>
    <w:pPr>
      <w:keepNext/>
      <w:tabs>
        <w:tab w:val="left" w:pos="425"/>
      </w:tabs>
      <w:spacing w:before="360" w:after="120"/>
      <w:jc w:val="both"/>
    </w:pPr>
    <w:rPr>
      <w:rFonts w:asciiTheme="minorHAnsi" w:eastAsiaTheme="minorHAnsi" w:hAnsiTheme="minorHAnsi" w:cstheme="minorBidi"/>
      <w:b/>
      <w:sz w:val="22"/>
      <w:szCs w:val="22"/>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7"/>
      </w:numPr>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customStyle="1" w:styleId="paragraph">
    <w:name w:val="paragraph"/>
    <w:basedOn w:val="Navaden"/>
    <w:rsid w:val="000F03D7"/>
    <w:pPr>
      <w:spacing w:before="100" w:beforeAutospacing="1" w:after="100" w:afterAutospacing="1"/>
    </w:pPr>
  </w:style>
  <w:style w:type="character" w:customStyle="1" w:styleId="normaltextrun">
    <w:name w:val="normaltextrun"/>
    <w:basedOn w:val="Privzetapisavaodstavka"/>
    <w:rsid w:val="000F03D7"/>
  </w:style>
  <w:style w:type="character" w:customStyle="1" w:styleId="eop">
    <w:name w:val="eop"/>
    <w:basedOn w:val="Privzetapisavaodstavka"/>
    <w:rsid w:val="000F03D7"/>
  </w:style>
  <w:style w:type="character" w:styleId="Hiperpovezava">
    <w:name w:val="Hyperlink"/>
    <w:basedOn w:val="Privzetapisavaodstavka"/>
    <w:uiPriority w:val="99"/>
    <w:unhideWhenUsed/>
    <w:rsid w:val="007747BF"/>
    <w:rPr>
      <w:color w:val="0000FF"/>
      <w:u w:val="single"/>
    </w:rPr>
  </w:style>
  <w:style w:type="character" w:styleId="Nerazreenaomemba">
    <w:name w:val="Unresolved Mention"/>
    <w:basedOn w:val="Privzetapisavaodstavka"/>
    <w:uiPriority w:val="99"/>
    <w:semiHidden/>
    <w:unhideWhenUsed/>
    <w:rsid w:val="00FA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5091">
      <w:bodyDiv w:val="1"/>
      <w:marLeft w:val="0"/>
      <w:marRight w:val="0"/>
      <w:marTop w:val="0"/>
      <w:marBottom w:val="0"/>
      <w:divBdr>
        <w:top w:val="none" w:sz="0" w:space="0" w:color="auto"/>
        <w:left w:val="none" w:sz="0" w:space="0" w:color="auto"/>
        <w:bottom w:val="none" w:sz="0" w:space="0" w:color="auto"/>
        <w:right w:val="none" w:sz="0" w:space="0" w:color="auto"/>
      </w:divBdr>
    </w:div>
    <w:div w:id="564070568">
      <w:bodyDiv w:val="1"/>
      <w:marLeft w:val="0"/>
      <w:marRight w:val="0"/>
      <w:marTop w:val="0"/>
      <w:marBottom w:val="0"/>
      <w:divBdr>
        <w:top w:val="none" w:sz="0" w:space="0" w:color="auto"/>
        <w:left w:val="none" w:sz="0" w:space="0" w:color="auto"/>
        <w:bottom w:val="none" w:sz="0" w:space="0" w:color="auto"/>
        <w:right w:val="none" w:sz="0" w:space="0" w:color="auto"/>
      </w:divBdr>
    </w:div>
    <w:div w:id="1053966322">
      <w:bodyDiv w:val="1"/>
      <w:marLeft w:val="0"/>
      <w:marRight w:val="0"/>
      <w:marTop w:val="0"/>
      <w:marBottom w:val="0"/>
      <w:divBdr>
        <w:top w:val="none" w:sz="0" w:space="0" w:color="auto"/>
        <w:left w:val="none" w:sz="0" w:space="0" w:color="auto"/>
        <w:bottom w:val="none" w:sz="0" w:space="0" w:color="auto"/>
        <w:right w:val="none" w:sz="0" w:space="0" w:color="auto"/>
      </w:divBdr>
    </w:div>
    <w:div w:id="1467121116">
      <w:bodyDiv w:val="1"/>
      <w:marLeft w:val="0"/>
      <w:marRight w:val="0"/>
      <w:marTop w:val="0"/>
      <w:marBottom w:val="0"/>
      <w:divBdr>
        <w:top w:val="none" w:sz="0" w:space="0" w:color="auto"/>
        <w:left w:val="none" w:sz="0" w:space="0" w:color="auto"/>
        <w:bottom w:val="none" w:sz="0" w:space="0" w:color="auto"/>
        <w:right w:val="none" w:sz="0" w:space="0" w:color="auto"/>
      </w:divBdr>
    </w:div>
    <w:div w:id="16244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1-1050/14/12/7290" TargetMode="External"/><Relationship Id="rId18" Type="http://schemas.openxmlformats.org/officeDocument/2006/relationships/hyperlink" Target="http://dx.doi.org/10.1016/j.trd.2014.05.007" TargetMode="External"/><Relationship Id="rId26" Type="http://schemas.openxmlformats.org/officeDocument/2006/relationships/hyperlink" Target="https://plus-legacy.cobiss.net/cobiss/si/sl/bib/233133315" TargetMode="External"/><Relationship Id="rId3" Type="http://schemas.openxmlformats.org/officeDocument/2006/relationships/customXml" Target="../customXml/item3.xml"/><Relationship Id="rId21" Type="http://schemas.openxmlformats.org/officeDocument/2006/relationships/hyperlink" Target="http://dx.doi.org/10.1016/j.trd.2014.11.015" TargetMode="External"/><Relationship Id="rId7" Type="http://schemas.openxmlformats.org/officeDocument/2006/relationships/webSettings" Target="webSettings.xml"/><Relationship Id="rId12" Type="http://schemas.openxmlformats.org/officeDocument/2006/relationships/hyperlink" Target="https://plus.si.cobiss.net/opac7/bib/105118467?lang=sl" TargetMode="External"/><Relationship Id="rId17" Type="http://schemas.openxmlformats.org/officeDocument/2006/relationships/hyperlink" Target="http://www.sciencedirect.com/science/article/pii/S1361920914000339" TargetMode="External"/><Relationship Id="rId25" Type="http://schemas.openxmlformats.org/officeDocument/2006/relationships/hyperlink" Target="https://dx.doi.org/10.3390/su1706269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biss.izum.si/scripts/cobiss?command=DISPLAY&amp;base=COBIB&amp;RID=512556349" TargetMode="External"/><Relationship Id="rId20" Type="http://schemas.openxmlformats.org/officeDocument/2006/relationships/hyperlink" Target="http://www.sciencedirect.com/science/article/pii/S1361920914001783" TargetMode="External"/><Relationship Id="rId29" Type="http://schemas.openxmlformats.org/officeDocument/2006/relationships/hyperlink" Target="https://dx.doi.org/10.30657/pea.2024.3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3390/su14084551" TargetMode="External"/><Relationship Id="rId24" Type="http://schemas.openxmlformats.org/officeDocument/2006/relationships/hyperlink" Target="https://dk.um.si/IzpisGradiva.php?id=9348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x.doi.org/10.1016/j.scs.2013.11.010" TargetMode="External"/><Relationship Id="rId23" Type="http://schemas.openxmlformats.org/officeDocument/2006/relationships/hyperlink" Target="https://www.mdpi.com/2071-1050/17/6/2694" TargetMode="External"/><Relationship Id="rId28" Type="http://schemas.openxmlformats.org/officeDocument/2006/relationships/hyperlink" Target="https://dk.um.si/IzpisGradiva.php?id=93759" TargetMode="External"/><Relationship Id="rId10" Type="http://schemas.openxmlformats.org/officeDocument/2006/relationships/hyperlink" Target="https://doi.org/10.3390/su14084551" TargetMode="External"/><Relationship Id="rId19" Type="http://schemas.openxmlformats.org/officeDocument/2006/relationships/hyperlink" Target="http://cobiss.izum.si/scripts/cobiss?command=DISPLAY&amp;base=COBIB&amp;RID=512566077"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3390/su14127290" TargetMode="External"/><Relationship Id="rId22" Type="http://schemas.openxmlformats.org/officeDocument/2006/relationships/hyperlink" Target="http://cobiss.izum.si/scripts/cobiss?command=DISPLAY&amp;base=COBIB&amp;RID=512609853" TargetMode="External"/><Relationship Id="rId27" Type="http://schemas.openxmlformats.org/officeDocument/2006/relationships/hyperlink" Target="https://sciendo.com/article/10.30657/pea.2024.30.20" TargetMode="External"/><Relationship Id="rId30" Type="http://schemas.openxmlformats.org/officeDocument/2006/relationships/hyperlink" Target="https://plus-legacy.cobiss.net/cobiss/si/sl/bib/202588675" TargetMode="External"/><Relationship Id="rId8"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D4751-A5CD-49F1-BAB3-641D3AD3C7D8}">
  <ds:schemaRefs>
    <ds:schemaRef ds:uri="http://schemas.microsoft.com/sharepoint/v3/contenttype/forms"/>
  </ds:schemaRefs>
</ds:datastoreItem>
</file>

<file path=customXml/itemProps2.xml><?xml version="1.0" encoding="utf-8"?>
<ds:datastoreItem xmlns:ds="http://schemas.openxmlformats.org/officeDocument/2006/customXml" ds:itemID="{1AEC5F06-D045-491D-9D87-F173BCFF52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C113F-9FB7-4D61-AFA2-56EEEB67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1660</Words>
  <Characters>12936</Characters>
  <Application>Microsoft Office Word</Application>
  <DocSecurity>0</DocSecurity>
  <Lines>107</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2026-01-14T07:06:00Z</dcterms:created>
  <dcterms:modified xsi:type="dcterms:W3CDTF">2026-03-17T10:26:00Z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c15336d303f85091df37c27a76d2f7acc61e3dcc0610e6bd31c090e71cfac9d6</vt:lpwstr>
  </property>
</Properties>
</file>