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1"/>
        <w:gridCol w:w="487"/>
        <w:gridCol w:w="712"/>
        <w:gridCol w:w="218"/>
        <w:gridCol w:w="489"/>
        <w:gridCol w:w="152"/>
        <w:gridCol w:w="699"/>
        <w:gridCol w:w="76"/>
        <w:gridCol w:w="62"/>
        <w:gridCol w:w="990"/>
        <w:gridCol w:w="365"/>
        <w:gridCol w:w="1193"/>
        <w:gridCol w:w="224"/>
        <w:gridCol w:w="132"/>
        <w:gridCol w:w="1079"/>
      </w:tblGrid>
      <w:tr w:rsidR="005A11E4" w:rsidRPr="001C33A2" w14:paraId="605D34DD" w14:textId="77777777" w:rsidTr="021FD019">
        <w:trPr>
          <w:trHeight w:val="375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C33A2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D67946" w:rsidRPr="001C33A2" w14:paraId="36413FBF" w14:textId="77777777" w:rsidTr="008A693E">
        <w:tc>
          <w:tcPr>
            <w:tcW w:w="1797" w:type="dxa"/>
            <w:gridSpan w:val="2"/>
          </w:tcPr>
          <w:p w14:paraId="72C1DC59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E0613F1" w:rsidR="00D67946" w:rsidRPr="001C33A2" w:rsidRDefault="00D67946" w:rsidP="00D67946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 xml:space="preserve">NEMŠKI JEZIK V LOGISTIKI 2 </w:t>
            </w:r>
          </w:p>
        </w:tc>
      </w:tr>
      <w:tr w:rsidR="00D67946" w:rsidRPr="001C33A2" w14:paraId="12BB578E" w14:textId="77777777" w:rsidTr="008A693E">
        <w:tc>
          <w:tcPr>
            <w:tcW w:w="1797" w:type="dxa"/>
            <w:gridSpan w:val="2"/>
          </w:tcPr>
          <w:p w14:paraId="003758B5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7A64B0" w:rsidR="00D67946" w:rsidRPr="001C33A2" w:rsidRDefault="00D67946" w:rsidP="00D67946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GERMAN LANGUAGE IN LOGISTICS 2</w:t>
            </w:r>
          </w:p>
        </w:tc>
      </w:tr>
      <w:tr w:rsidR="005A11E4" w:rsidRPr="001C33A2" w14:paraId="0BB44B80" w14:textId="77777777" w:rsidTr="008A693E">
        <w:tc>
          <w:tcPr>
            <w:tcW w:w="3304" w:type="dxa"/>
            <w:gridSpan w:val="5"/>
            <w:vAlign w:val="center"/>
          </w:tcPr>
          <w:p w14:paraId="381AAD97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98" w:type="dxa"/>
            <w:gridSpan w:val="8"/>
            <w:vAlign w:val="center"/>
          </w:tcPr>
          <w:p w14:paraId="72824CE0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EB909A8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1C33A2" w14:paraId="5EC26D3D" w14:textId="77777777" w:rsidTr="008A693E">
        <w:tc>
          <w:tcPr>
            <w:tcW w:w="3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1C33A2" w14:paraId="23FFFBED" w14:textId="77777777" w:rsidTr="008A693E">
        <w:trPr>
          <w:trHeight w:val="318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1C33A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1C33A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D1055FA" w:rsidR="00B1469E" w:rsidRPr="001C33A2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="00B1469E" w:rsidRPr="001C33A2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7D65B25" w:rsidR="00B1469E" w:rsidRPr="001C33A2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1C33A2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1C33A2" w14:paraId="4AE235F2" w14:textId="77777777" w:rsidTr="008A693E">
        <w:trPr>
          <w:trHeight w:val="318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1C33A2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1C33A2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1C33A2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66483A55" w:rsidR="00B1469E" w:rsidRPr="001C33A2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="00B1469E" w:rsidRPr="001C33A2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E6C1A54" w:rsidR="00B1469E" w:rsidRPr="001C33A2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B1469E" w:rsidRPr="001C33A2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1C33A2" w14:paraId="1E148366" w14:textId="77777777" w:rsidTr="021FD019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C33A2" w14:paraId="53363266" w14:textId="77777777" w:rsidTr="008A693E">
        <w:trPr>
          <w:trHeight w:val="270"/>
        </w:trPr>
        <w:tc>
          <w:tcPr>
            <w:tcW w:w="5712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B8B7A65" w:rsidR="005A11E4" w:rsidRPr="001C33A2" w:rsidRDefault="00D67946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1C33A2" w14:paraId="6024E532" w14:textId="77777777" w:rsidTr="008A693E">
        <w:trPr>
          <w:trHeight w:val="56"/>
        </w:trPr>
        <w:tc>
          <w:tcPr>
            <w:tcW w:w="5712" w:type="dxa"/>
            <w:gridSpan w:val="12"/>
            <w:vMerge/>
          </w:tcPr>
          <w:p w14:paraId="6138598E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07C37B" w:rsidR="005A11E4" w:rsidRPr="001C33A2" w:rsidRDefault="00D67946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1C33A2" w14:paraId="6B1B7C32" w14:textId="77777777" w:rsidTr="008A693E">
        <w:tc>
          <w:tcPr>
            <w:tcW w:w="5712" w:type="dxa"/>
            <w:gridSpan w:val="12"/>
          </w:tcPr>
          <w:p w14:paraId="02799658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C33A2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C33A2" w14:paraId="5DB8E894" w14:textId="77777777" w:rsidTr="008A693E">
        <w:tc>
          <w:tcPr>
            <w:tcW w:w="57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1C33A2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1C33A2" w14:paraId="5FC48C48" w14:textId="77777777" w:rsidTr="021FD019">
        <w:tc>
          <w:tcPr>
            <w:tcW w:w="9695" w:type="dxa"/>
            <w:gridSpan w:val="18"/>
          </w:tcPr>
          <w:p w14:paraId="19BF6CFB" w14:textId="77777777" w:rsidR="005A11E4" w:rsidRPr="001C33A2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C33A2" w14:paraId="69EB4177" w14:textId="77777777" w:rsidTr="008A693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C33A2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C96720" w:rsidRPr="001C33A2" w14:paraId="6C3C0BA4" w14:textId="77777777" w:rsidTr="008A693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4F56C391" w:rsidR="00C96720" w:rsidRPr="001C33A2" w:rsidRDefault="009C7E41" w:rsidP="021FD01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24 </w:t>
            </w:r>
            <w:r w:rsidR="00C96720" w:rsidRPr="001C33A2">
              <w:rPr>
                <w:rFonts w:asciiTheme="minorHAnsi" w:hAnsiTheme="minorHAnsi"/>
                <w:sz w:val="20"/>
                <w:szCs w:val="20"/>
              </w:rPr>
              <w:t>e-P</w:t>
            </w:r>
          </w:p>
          <w:p w14:paraId="013B6061" w14:textId="4E5C5B88" w:rsidR="00C96720" w:rsidRPr="001C33A2" w:rsidRDefault="009C7E41" w:rsidP="021FD01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36 </w:t>
            </w:r>
            <w:r w:rsidR="00C96720" w:rsidRPr="001C33A2">
              <w:rPr>
                <w:rFonts w:asciiTheme="minorHAnsi" w:hAnsiTheme="minorHAnsi"/>
                <w:sz w:val="20"/>
                <w:szCs w:val="20"/>
              </w:rPr>
              <w:t>a-P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06A58E1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B3EC564" w:rsidR="00C96720" w:rsidRPr="001C33A2" w:rsidRDefault="00D6794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Cs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C96720" w:rsidRPr="001C33A2" w:rsidRDefault="00D6794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C96720" w:rsidRPr="001C33A2" w14:paraId="33611488" w14:textId="77777777" w:rsidTr="008A693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081F71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96720" w:rsidRPr="001C33A2" w14:paraId="3AFC1636" w14:textId="77777777" w:rsidTr="008A693E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671FE0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96720" w:rsidRPr="001C33A2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C33A2" w14:paraId="6194853B" w14:textId="77777777" w:rsidTr="021FD019">
        <w:tc>
          <w:tcPr>
            <w:tcW w:w="9695" w:type="dxa"/>
            <w:gridSpan w:val="18"/>
          </w:tcPr>
          <w:p w14:paraId="73ECE184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1C33A2" w14:paraId="695F6595" w14:textId="77777777" w:rsidTr="008A693E">
        <w:tc>
          <w:tcPr>
            <w:tcW w:w="3304" w:type="dxa"/>
            <w:gridSpan w:val="5"/>
          </w:tcPr>
          <w:p w14:paraId="19C80114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645376A" w:rsidR="005A11E4" w:rsidRPr="001C33A2" w:rsidRDefault="009C7E41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asciiTheme="minorHAnsi" w:hAnsiTheme="minorHAnsi"/>
                <w:b/>
                <w:bCs/>
                <w:sz w:val="20"/>
                <w:szCs w:val="20"/>
              </w:rPr>
              <w:t>Brigita Kacjan</w:t>
            </w:r>
          </w:p>
        </w:tc>
      </w:tr>
      <w:tr w:rsidR="005A11E4" w:rsidRPr="001C33A2" w14:paraId="373ADDF1" w14:textId="77777777" w:rsidTr="021FD019">
        <w:tc>
          <w:tcPr>
            <w:tcW w:w="9695" w:type="dxa"/>
            <w:gridSpan w:val="18"/>
          </w:tcPr>
          <w:p w14:paraId="0BC8F3BA" w14:textId="77777777" w:rsidR="005A11E4" w:rsidRPr="001C33A2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1C33A2" w14:paraId="2546E5AF" w14:textId="77777777" w:rsidTr="008A693E">
        <w:tc>
          <w:tcPr>
            <w:tcW w:w="2296" w:type="dxa"/>
            <w:gridSpan w:val="3"/>
            <w:vMerge w:val="restart"/>
          </w:tcPr>
          <w:p w14:paraId="6861494E" w14:textId="77777777" w:rsidR="005A11E4" w:rsidRPr="001C33A2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7" w:type="dxa"/>
            <w:gridSpan w:val="5"/>
          </w:tcPr>
          <w:p w14:paraId="77461E9B" w14:textId="77777777" w:rsidR="005A11E4" w:rsidRPr="001C33A2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CEC3E65" w:rsidR="005A11E4" w:rsidRPr="001C33A2" w:rsidRDefault="00DD2B89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/>
                <w:sz w:val="20"/>
                <w:szCs w:val="20"/>
                <w:lang w:eastAsia="sl-SI"/>
              </w:rPr>
              <w:t>NEMŠKI</w:t>
            </w:r>
            <w:r w:rsidR="00D67946" w:rsidRPr="001C33A2">
              <w:rPr>
                <w:rFonts w:eastAsia="Calibri"/>
                <w:sz w:val="20"/>
                <w:szCs w:val="20"/>
                <w:lang w:eastAsia="sl-SI"/>
              </w:rPr>
              <w:t>/GERMAN</w:t>
            </w:r>
          </w:p>
        </w:tc>
      </w:tr>
      <w:tr w:rsidR="005A11E4" w:rsidRPr="001C33A2" w14:paraId="0712B376" w14:textId="77777777" w:rsidTr="008A693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7" w:type="dxa"/>
            <w:gridSpan w:val="5"/>
          </w:tcPr>
          <w:p w14:paraId="3A2F1B73" w14:textId="77777777" w:rsidR="005A11E4" w:rsidRPr="001C33A2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54FEA69" w:rsidR="005A11E4" w:rsidRPr="001C33A2" w:rsidRDefault="005A11E4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</w:tr>
      <w:tr w:rsidR="005A11E4" w:rsidRPr="001C33A2" w14:paraId="0BB418C6" w14:textId="77777777" w:rsidTr="008A693E">
        <w:tc>
          <w:tcPr>
            <w:tcW w:w="47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201D2" w:rsidRPr="00B201D2" w14:paraId="273ADA0E" w14:textId="77777777" w:rsidTr="008A693E">
        <w:trPr>
          <w:trHeight w:val="275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C43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b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cs="Calibri"/>
                <w:b/>
                <w:color w:val="000000" w:themeColor="text1"/>
                <w:sz w:val="20"/>
                <w:szCs w:val="20"/>
                <w:lang w:eastAsia="sl-SI"/>
              </w:rPr>
              <w:t xml:space="preserve">Pogoj za vključitev dela: </w:t>
            </w:r>
          </w:p>
          <w:p w14:paraId="7B8D062B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cs="Calibri"/>
                <w:color w:val="000000" w:themeColor="text1"/>
                <w:sz w:val="20"/>
                <w:szCs w:val="20"/>
                <w:lang w:eastAsia="sl-SI"/>
              </w:rPr>
              <w:t>Pogojev ni.</w:t>
            </w:r>
          </w:p>
          <w:p w14:paraId="6C32AC09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b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cs="Calibri"/>
                <w:b/>
                <w:color w:val="000000" w:themeColor="text1"/>
                <w:sz w:val="20"/>
                <w:szCs w:val="20"/>
                <w:lang w:eastAsia="sl-SI"/>
              </w:rPr>
              <w:t>Pogoj za opravljanje študijskih obveznosti:</w:t>
            </w:r>
          </w:p>
          <w:p w14:paraId="343CCBFD" w14:textId="77777777" w:rsidR="00AF0EC5" w:rsidRPr="00B201D2" w:rsidRDefault="00AF0EC5" w:rsidP="00B201D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e-predavanj.</w:t>
            </w:r>
          </w:p>
          <w:p w14:paraId="37A37BFD" w14:textId="32564FB6" w:rsidR="005A11E4" w:rsidRPr="00B201D2" w:rsidRDefault="00A26680" w:rsidP="00B201D2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cs="Calibri"/>
                <w:color w:val="000000" w:themeColor="text1"/>
                <w:sz w:val="20"/>
                <w:szCs w:val="20"/>
                <w:lang w:eastAsia="sl-SI"/>
              </w:rPr>
              <w:t>Ustna predstavitev je pogoj za pristop h pisnemu izpitu.</w:t>
            </w:r>
            <w:r w:rsidRPr="00B201D2">
              <w:rPr>
                <w:rFonts w:cs="Calibri"/>
                <w:color w:val="000000" w:themeColor="text1"/>
                <w:sz w:val="20"/>
                <w:szCs w:val="20"/>
                <w:lang w:eastAsia="sl-SI"/>
              </w:rPr>
              <w:tab/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B201D2" w:rsidRDefault="005A11E4" w:rsidP="00B201D2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AC3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b/>
                <w:color w:val="000000" w:themeColor="text1"/>
                <w:sz w:val="20"/>
                <w:szCs w:val="20"/>
                <w:lang w:val="en-US" w:eastAsia="sl-SI"/>
              </w:rPr>
            </w:pPr>
            <w:r w:rsidRPr="00B201D2">
              <w:rPr>
                <w:rFonts w:cs="Calibri"/>
                <w:b/>
                <w:color w:val="000000" w:themeColor="text1"/>
                <w:sz w:val="20"/>
                <w:szCs w:val="20"/>
                <w:lang w:val="en-US" w:eastAsia="sl-SI"/>
              </w:rPr>
              <w:t>Prerequisits for acceding the course:</w:t>
            </w:r>
          </w:p>
          <w:p w14:paraId="38BB5BF1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  <w:lang w:val="en-US" w:eastAsia="sl-SI"/>
              </w:rPr>
            </w:pPr>
            <w:r w:rsidRPr="00B201D2">
              <w:rPr>
                <w:rFonts w:cs="Calibri"/>
                <w:color w:val="000000" w:themeColor="text1"/>
                <w:sz w:val="20"/>
                <w:szCs w:val="20"/>
                <w:lang w:val="en-US" w:eastAsia="sl-SI"/>
              </w:rPr>
              <w:t>None.</w:t>
            </w:r>
          </w:p>
          <w:p w14:paraId="06C30532" w14:textId="77777777" w:rsidR="00A26680" w:rsidRPr="00B201D2" w:rsidRDefault="00A26680" w:rsidP="00B201D2">
            <w:pPr>
              <w:spacing w:after="0"/>
              <w:jc w:val="both"/>
              <w:rPr>
                <w:rFonts w:cs="Calibri"/>
                <w:b/>
                <w:color w:val="000000" w:themeColor="text1"/>
                <w:sz w:val="20"/>
                <w:szCs w:val="20"/>
                <w:lang w:val="en-US" w:eastAsia="sl-SI"/>
              </w:rPr>
            </w:pPr>
            <w:r w:rsidRPr="00B201D2">
              <w:rPr>
                <w:rFonts w:cs="Calibri"/>
                <w:b/>
                <w:color w:val="000000" w:themeColor="text1"/>
                <w:sz w:val="20"/>
                <w:szCs w:val="20"/>
                <w:lang w:val="en-US" w:eastAsia="sl-SI"/>
              </w:rPr>
              <w:t xml:space="preserve">Conditions for prerequisits:  </w:t>
            </w:r>
          </w:p>
          <w:p w14:paraId="5F8B9867" w14:textId="529A6541" w:rsidR="00AF0EC5" w:rsidRPr="00B201D2" w:rsidRDefault="00AF0EC5" w:rsidP="00B201D2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  <w:lang w:val="en-US" w:eastAsia="sl-SI"/>
              </w:rPr>
            </w:pPr>
            <w:r w:rsidRPr="00B201D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is a prerequisite for taking the exam.</w:t>
            </w:r>
          </w:p>
          <w:p w14:paraId="28CBA30C" w14:textId="1B6A7EB5" w:rsidR="005A11E4" w:rsidRPr="00B201D2" w:rsidRDefault="00A26680" w:rsidP="00B201D2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B201D2">
              <w:rPr>
                <w:rFonts w:cs="Calibri"/>
                <w:color w:val="000000" w:themeColor="text1"/>
                <w:sz w:val="20"/>
                <w:szCs w:val="20"/>
                <w:lang w:val="en-US" w:eastAsia="sl-SI"/>
              </w:rPr>
              <w:t>Delivered oral presentation is the prerequisite for accession to the written examination.</w:t>
            </w:r>
          </w:p>
        </w:tc>
      </w:tr>
      <w:tr w:rsidR="005A11E4" w:rsidRPr="001C33A2" w14:paraId="32638BBD" w14:textId="77777777" w:rsidTr="008A693E">
        <w:trPr>
          <w:trHeight w:val="137"/>
        </w:trPr>
        <w:tc>
          <w:tcPr>
            <w:tcW w:w="47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1C33A2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A04AB" w:rsidRPr="001C33A2" w14:paraId="4EDFC7EE" w14:textId="77777777" w:rsidTr="008A693E">
        <w:trPr>
          <w:trHeight w:val="20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21A" w14:textId="77777777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TEME:</w:t>
            </w:r>
          </w:p>
          <w:p w14:paraId="6BF99101" w14:textId="4770B614" w:rsidR="00D67946" w:rsidRPr="001C33A2" w:rsidRDefault="009C7E41" w:rsidP="00B201D2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Strokovna terminologija</w:t>
            </w:r>
            <w:r w:rsidR="00D6794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>:</w:t>
            </w:r>
          </w:p>
          <w:p w14:paraId="44E9D012" w14:textId="0AFFD494" w:rsidR="00D67946" w:rsidRPr="001C33A2" w:rsidRDefault="00B201D2" w:rsidP="00B201D2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D6794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>osebnosti medkulturne komunikacije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D6794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>(Interkulturelle Kommunikation)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</w:p>
          <w:p w14:paraId="0DB27C6F" w14:textId="2450BE83" w:rsidR="00B73112" w:rsidRPr="001C33A2" w:rsidRDefault="00B73112" w:rsidP="00B201D2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struktura podjetij (Unternehmensstrukturen), </w:t>
            </w:r>
          </w:p>
          <w:p w14:paraId="665AF5C6" w14:textId="35C8072F" w:rsidR="00B73112" w:rsidRPr="001C33A2" w:rsidRDefault="00B73112" w:rsidP="00B201D2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osnove trženja</w:t>
            </w:r>
            <w:r w:rsidR="00B062C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(Grundlagen des Marketing)</w:t>
            </w: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</w:p>
          <w:p w14:paraId="6BAAA28E" w14:textId="1DADA994" w:rsidR="00B73112" w:rsidRPr="001C33A2" w:rsidRDefault="00B73112" w:rsidP="00B201D2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deležniki in procesi v oskrbovalni verigi</w:t>
            </w:r>
            <w:r w:rsidR="00B062C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(Interessensgruppen und Prozesse der Lieferkette</w:t>
            </w:r>
            <w:r w:rsidR="002E730E" w:rsidRPr="001C33A2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</w:p>
          <w:p w14:paraId="328CFE3B" w14:textId="6AF7CE18" w:rsidR="00B73112" w:rsidRPr="001C33A2" w:rsidRDefault="00B73112" w:rsidP="00B201D2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vloga špedicije in carine v mednarodni logistiki</w:t>
            </w:r>
            <w:r w:rsidR="00B062C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(Rolle der Spedition und des Zolls in der internationalen Logistik)</w:t>
            </w:r>
            <w:r w:rsidR="00B201D2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58E02285" w14:textId="77777777" w:rsidR="00D67946" w:rsidRPr="001C33A2" w:rsidRDefault="00D67946" w:rsidP="00B201D2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Globalizacija in njen pomen za logistiko (Globalisierung und die Logistik).</w:t>
            </w:r>
          </w:p>
          <w:p w14:paraId="29993C4F" w14:textId="77777777" w:rsidR="00D67946" w:rsidRPr="001C33A2" w:rsidRDefault="00D67946" w:rsidP="00B201D2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Zelena logistika (Grüne Logistik).</w:t>
            </w:r>
          </w:p>
          <w:p w14:paraId="41CA95AD" w14:textId="4F728D91" w:rsidR="00FA75EF" w:rsidRPr="001C33A2" w:rsidRDefault="00D67946" w:rsidP="00B201D2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Razbremenilna logistika (Entsorgungslogistik).</w:t>
            </w:r>
          </w:p>
          <w:p w14:paraId="5562A4E0" w14:textId="138AF86D" w:rsidR="00D67946" w:rsidRPr="001C33A2" w:rsidRDefault="00B73112" w:rsidP="00B201D2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Trajnostne oskrbovalne verige (nachhaltige </w:t>
            </w:r>
            <w:r w:rsidR="00B062C6" w:rsidRPr="001C33A2">
              <w:rPr>
                <w:rFonts w:asciiTheme="minorHAnsi" w:hAnsiTheme="minorHAnsi"/>
                <w:color w:val="auto"/>
                <w:sz w:val="20"/>
                <w:szCs w:val="20"/>
              </w:rPr>
              <w:t>Liefer</w:t>
            </w:r>
            <w:r w:rsidRPr="001C33A2">
              <w:rPr>
                <w:rFonts w:asciiTheme="minorHAnsi" w:hAnsiTheme="minorHAnsi"/>
                <w:color w:val="auto"/>
                <w:sz w:val="20"/>
                <w:szCs w:val="20"/>
              </w:rPr>
              <w:t>ketten)</w:t>
            </w:r>
            <w:r w:rsidR="00B201D2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45BFE2A" w14:textId="77777777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327477" w14:textId="77777777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SLOVNICA:</w:t>
            </w:r>
          </w:p>
          <w:p w14:paraId="62AABF96" w14:textId="5A610CC8" w:rsidR="00D67946" w:rsidRPr="001C33A2" w:rsidRDefault="00D67946" w:rsidP="00B201D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Besedotvorje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B84CCD6" w14:textId="58344A4B" w:rsidR="00D67946" w:rsidRPr="001C33A2" w:rsidRDefault="00D67946" w:rsidP="00B201D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Deležniki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B3046F" w14:textId="6912FFD4" w:rsidR="00D67946" w:rsidRPr="001C33A2" w:rsidRDefault="00D67946" w:rsidP="00B201D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Transformacije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EBDF63C" w14:textId="18ED4707" w:rsidR="00D67946" w:rsidRPr="001C33A2" w:rsidRDefault="00D67946" w:rsidP="00B201D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Pogojni odvisniki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5112B6" w14:textId="61CA974E" w:rsidR="003A04AB" w:rsidRPr="001C33A2" w:rsidRDefault="00D67946" w:rsidP="00B201D2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Odvisni govor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1C33A2" w:rsidRDefault="003A04AB" w:rsidP="00B201D2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74E" w14:textId="14088F7F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TOPICS</w:t>
            </w:r>
          </w:p>
          <w:p w14:paraId="5B955359" w14:textId="627370D9" w:rsidR="006C5019" w:rsidRPr="00B201D2" w:rsidRDefault="006C5019" w:rsidP="00B201D2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Professional terminology:</w:t>
            </w:r>
          </w:p>
          <w:p w14:paraId="0AAB5514" w14:textId="1080D35C" w:rsidR="006C5019" w:rsidRPr="00B201D2" w:rsidRDefault="00B201D2" w:rsidP="00B201D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6C5019" w:rsidRPr="00B201D2">
              <w:rPr>
                <w:rFonts w:asciiTheme="minorHAnsi" w:hAnsiTheme="minorHAnsi"/>
                <w:sz w:val="20"/>
                <w:szCs w:val="20"/>
              </w:rPr>
              <w:t>eculiarities of intercultural communication (Interkulturelle Kommunikation),</w:t>
            </w:r>
          </w:p>
          <w:p w14:paraId="69EB8846" w14:textId="758913E4" w:rsidR="006C5019" w:rsidRPr="00B201D2" w:rsidRDefault="006C5019" w:rsidP="00B201D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company structure (Unternehmensstrukturen),</w:t>
            </w:r>
          </w:p>
          <w:p w14:paraId="0BD7E57C" w14:textId="169DB2C6" w:rsidR="006C5019" w:rsidRPr="00B201D2" w:rsidRDefault="006C5019" w:rsidP="00B201D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basics of marketing (Grundlagen des Marketing),</w:t>
            </w:r>
          </w:p>
          <w:p w14:paraId="748B89C7" w14:textId="0B2574B4" w:rsidR="006C5019" w:rsidRPr="00B201D2" w:rsidRDefault="006C5019" w:rsidP="00B201D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stakeholders and processes in the supply chain (Interessensgruppen und Prozesse der Lieferkette,</w:t>
            </w:r>
          </w:p>
          <w:p w14:paraId="28319F4A" w14:textId="60F7B6A8" w:rsidR="006C5019" w:rsidRPr="00B201D2" w:rsidRDefault="006C5019" w:rsidP="00B201D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the role of forwarding and customs in international logistics (Rolle der Spedition und des Zolls in der internationalen Logistik)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2B8A770" w14:textId="4E14A73F" w:rsidR="006C5019" w:rsidRPr="00B201D2" w:rsidRDefault="006C5019" w:rsidP="00B201D2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Globalization and its importance for logistics (Globalisierung und die Logistik).</w:t>
            </w:r>
          </w:p>
          <w:p w14:paraId="50FC2716" w14:textId="503F5167" w:rsidR="006C5019" w:rsidRPr="00B201D2" w:rsidRDefault="006C5019" w:rsidP="00B201D2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Green logistics (Grüne Logistik).</w:t>
            </w:r>
          </w:p>
          <w:p w14:paraId="7474680E" w14:textId="070ECA98" w:rsidR="006C5019" w:rsidRPr="00B201D2" w:rsidRDefault="006C5019" w:rsidP="00B201D2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lastRenderedPageBreak/>
              <w:t>Reverse logistics (Entsorgungslogistik).</w:t>
            </w:r>
          </w:p>
          <w:p w14:paraId="2775A7CC" w14:textId="4B573659" w:rsidR="006C5019" w:rsidRPr="00B201D2" w:rsidRDefault="006C5019" w:rsidP="00B201D2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Sustainable supply chains (nachhaltige Lieferketten)</w:t>
            </w:r>
            <w:r w:rsidR="00B201D2" w:rsidRP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FFA406A" w14:textId="3ECD3490" w:rsidR="00D67946" w:rsidRDefault="00D67946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16659B8" w14:textId="2E8CC6C7" w:rsidR="00B201D2" w:rsidRDefault="00B201D2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5F50B14" w14:textId="77777777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GRAMMAR:</w:t>
            </w:r>
          </w:p>
          <w:p w14:paraId="04B6EE36" w14:textId="341B7B48" w:rsidR="00D67946" w:rsidRPr="001C33A2" w:rsidRDefault="00D67946" w:rsidP="00B201D2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Word formation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8DD4F53" w14:textId="1D553ADF" w:rsidR="00D67946" w:rsidRPr="001C33A2" w:rsidRDefault="00D67946" w:rsidP="00B201D2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Participles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D392ED1" w14:textId="69C03BF3" w:rsidR="00D67946" w:rsidRPr="001C33A2" w:rsidRDefault="00D67946" w:rsidP="00B201D2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Transformations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5C5F7F1" w14:textId="45FEE734" w:rsidR="00D67946" w:rsidRPr="001C33A2" w:rsidRDefault="00B201D2" w:rsidP="00B201D2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>f clauses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8E25B91" w14:textId="47DF314A" w:rsidR="003A04AB" w:rsidRPr="001C33A2" w:rsidRDefault="00D67946" w:rsidP="00B201D2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Reported speech</w:t>
            </w:r>
            <w:r w:rsidR="00B201D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C6387" w:rsidRPr="001C33A2" w14:paraId="50F6CFCC" w14:textId="77777777" w:rsidTr="021FD019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456C5BEE" w14:textId="77777777" w:rsidR="00D67946" w:rsidRPr="001C33A2" w:rsidRDefault="006C6387" w:rsidP="00740C4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3C19D0CF" w:rsidR="006C6387" w:rsidRPr="001C33A2" w:rsidRDefault="006C6387" w:rsidP="00740C45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67946" w:rsidRPr="00B201D2" w14:paraId="166E7B56" w14:textId="77777777" w:rsidTr="001C33A2">
        <w:trPr>
          <w:trHeight w:val="2618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FF3" w14:textId="77777777" w:rsidR="009B2BFC" w:rsidRPr="00B201D2" w:rsidRDefault="009B2BFC" w:rsidP="00B201D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B201D2">
              <w:rPr>
                <w:rFonts w:cs="Calibri"/>
                <w:color w:val="000000"/>
                <w:sz w:val="20"/>
                <w:szCs w:val="20"/>
              </w:rPr>
              <w:t xml:space="preserve">Giersberg, D. (2021). </w:t>
            </w:r>
            <w:r w:rsidRPr="00B201D2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Fachwortschatztrainer Transport und Lager: Deutsch als Fremd- und Zweitsprache </w:t>
            </w:r>
            <w:r w:rsidRPr="00B201D2">
              <w:rPr>
                <w:rFonts w:cs="Calibri"/>
                <w:color w:val="000000"/>
                <w:sz w:val="20"/>
                <w:szCs w:val="20"/>
              </w:rPr>
              <w:t>(1. Aufl.). Hueber.</w:t>
            </w:r>
          </w:p>
          <w:p w14:paraId="59B97C69" w14:textId="30F0AAC4" w:rsidR="00862C68" w:rsidRPr="00B201D2" w:rsidRDefault="00862C68" w:rsidP="00B201D2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Style w:val="st"/>
                <w:rFonts w:asciiTheme="minorHAnsi" w:hAnsiTheme="minorHAnsi"/>
                <w:b/>
                <w:sz w:val="20"/>
                <w:szCs w:val="20"/>
                <w:lang w:val="de-AT"/>
              </w:rPr>
            </w:pPr>
            <w:r w:rsidRPr="00B201D2">
              <w:rPr>
                <w:rStyle w:val="st"/>
                <w:rFonts w:asciiTheme="minorHAnsi" w:hAnsiTheme="minorHAnsi"/>
                <w:sz w:val="20"/>
                <w:szCs w:val="20"/>
                <w:lang w:val="de-AT"/>
              </w:rPr>
              <w:t xml:space="preserve">ProLogistik Group (2023): </w:t>
            </w:r>
            <w:r w:rsidR="006458D4" w:rsidRPr="00B201D2">
              <w:rPr>
                <w:rStyle w:val="st"/>
                <w:rFonts w:asciiTheme="minorHAnsi" w:hAnsiTheme="minorHAnsi"/>
                <w:sz w:val="20"/>
                <w:szCs w:val="20"/>
                <w:lang w:val="de-AT"/>
              </w:rPr>
              <w:t>Logistik-Lexikon. (</w:t>
            </w:r>
            <w:hyperlink r:id="rId11" w:history="1">
              <w:r w:rsidR="006458D4" w:rsidRPr="00B201D2">
                <w:rPr>
                  <w:rStyle w:val="Hiperpovezava"/>
                  <w:color w:val="auto"/>
                  <w:sz w:val="20"/>
                  <w:szCs w:val="20"/>
                </w:rPr>
                <w:t>https://www.prologistik.com/logistik-lexikon</w:t>
              </w:r>
            </w:hyperlink>
            <w:r w:rsidR="006458D4" w:rsidRPr="00B201D2">
              <w:rPr>
                <w:sz w:val="20"/>
                <w:szCs w:val="20"/>
              </w:rPr>
              <w:t>).</w:t>
            </w:r>
          </w:p>
          <w:p w14:paraId="297CA19C" w14:textId="70143958" w:rsidR="009C7E41" w:rsidRPr="00B201D2" w:rsidRDefault="009C7E41" w:rsidP="00B201D2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>Logistik heute – Fachzeitschrift (</w:t>
            </w:r>
            <w:hyperlink r:id="rId12" w:history="1">
              <w:r w:rsidRPr="00B201D2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shd w:val="clear" w:color="auto" w:fill="FFFFFF"/>
                </w:rPr>
                <w:t>https://logistik-heute.de</w:t>
              </w:r>
            </w:hyperlink>
            <w:r w:rsidRPr="00B201D2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)</w:t>
            </w:r>
            <w:r w:rsidR="000523C5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38D404EF" w14:textId="77777777" w:rsidR="009B2BFC" w:rsidRPr="00B201D2" w:rsidRDefault="009B2BFC" w:rsidP="00B201D2">
            <w:pPr>
              <w:pStyle w:val="Odstavekseznama"/>
              <w:numPr>
                <w:ilvl w:val="0"/>
                <w:numId w:val="20"/>
              </w:numPr>
              <w:rPr>
                <w:rFonts w:cs="Calibri"/>
                <w:color w:val="000000"/>
                <w:sz w:val="20"/>
                <w:szCs w:val="20"/>
              </w:rPr>
            </w:pPr>
            <w:r w:rsidRPr="00B201D2">
              <w:rPr>
                <w:rFonts w:cs="Calibri"/>
                <w:color w:val="000000"/>
                <w:sz w:val="20"/>
                <w:szCs w:val="20"/>
              </w:rPr>
              <w:t xml:space="preserve">Jin, F., &amp; Voß, U. (2022). </w:t>
            </w:r>
            <w:r w:rsidRPr="00B201D2">
              <w:rPr>
                <w:rFonts w:cs="Calibri"/>
                <w:i/>
                <w:iCs/>
                <w:color w:val="000000"/>
                <w:sz w:val="20"/>
                <w:szCs w:val="20"/>
              </w:rPr>
              <w:t>Übungsgrammatik Deutsch als Fremdsprache: Grammatik - kein Problem</w:t>
            </w:r>
            <w:r w:rsidRPr="00B201D2">
              <w:rPr>
                <w:rFonts w:cs="Calibri"/>
                <w:color w:val="000000"/>
                <w:sz w:val="20"/>
                <w:szCs w:val="20"/>
              </w:rPr>
              <w:t xml:space="preserve"> (1. Aufl.). Cornelsen.</w:t>
            </w:r>
          </w:p>
          <w:p w14:paraId="639A1692" w14:textId="77777777" w:rsidR="009C7E41" w:rsidRPr="00B201D2" w:rsidRDefault="009C7E41" w:rsidP="00B201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AT"/>
              </w:rPr>
            </w:pPr>
          </w:p>
          <w:p w14:paraId="25AFA1D0" w14:textId="77777777" w:rsidR="009C7E41" w:rsidRPr="00B201D2" w:rsidRDefault="009C7E41" w:rsidP="00B201D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0"/>
                <w:szCs w:val="20"/>
                <w:lang w:val="de-AT"/>
              </w:rPr>
            </w:pPr>
            <w:r w:rsidRPr="00B201D2">
              <w:rPr>
                <w:rFonts w:asciiTheme="minorHAnsi" w:hAnsiTheme="minorHAnsi"/>
                <w:b/>
                <w:sz w:val="20"/>
                <w:szCs w:val="20"/>
                <w:lang w:val="de-AT"/>
              </w:rPr>
              <w:t xml:space="preserve">Jezikovni priročniki/language manuals: </w:t>
            </w:r>
          </w:p>
          <w:p w14:paraId="467D1DC0" w14:textId="6FF45B8C" w:rsidR="00EB6E20" w:rsidRPr="00B201D2" w:rsidRDefault="009C7E41" w:rsidP="00B201D2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  <w:szCs w:val="20"/>
                <w:lang w:val="de-AT"/>
              </w:rPr>
            </w:pPr>
            <w:r w:rsidRP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>Duden online (</w:t>
            </w:r>
            <w:hyperlink r:id="rId13" w:history="1">
              <w:r w:rsidRPr="00B201D2">
                <w:rPr>
                  <w:rStyle w:val="Hiperpovezava"/>
                  <w:color w:val="auto"/>
                  <w:sz w:val="20"/>
                  <w:szCs w:val="20"/>
                </w:rPr>
                <w:t>https://www.duden.de/</w:t>
              </w:r>
            </w:hyperlink>
            <w:r w:rsidRPr="00B201D2">
              <w:rPr>
                <w:sz w:val="20"/>
                <w:szCs w:val="20"/>
              </w:rPr>
              <w:t>)</w:t>
            </w:r>
            <w:r w:rsidR="00B201D2">
              <w:rPr>
                <w:sz w:val="20"/>
                <w:szCs w:val="20"/>
              </w:rPr>
              <w:t>.</w:t>
            </w:r>
          </w:p>
          <w:p w14:paraId="184E7F18" w14:textId="0C68F6E2" w:rsidR="00D67946" w:rsidRPr="00B201D2" w:rsidRDefault="009C7E41" w:rsidP="00B201D2">
            <w:pPr>
              <w:pStyle w:val="Odstavekseznam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de-DE"/>
              </w:rPr>
            </w:pPr>
            <w:r w:rsidRP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>Digitales Wörterbuch der deutschen Sprache (DWDS) (</w:t>
            </w:r>
            <w:hyperlink r:id="rId14" w:history="1">
              <w:r w:rsidRPr="00B201D2">
                <w:rPr>
                  <w:rStyle w:val="Hiperpovezava"/>
                  <w:rFonts w:asciiTheme="minorHAnsi" w:hAnsiTheme="minorHAnsi"/>
                  <w:bCs/>
                  <w:color w:val="auto"/>
                  <w:sz w:val="20"/>
                  <w:szCs w:val="20"/>
                  <w:lang w:val="de-AT"/>
                </w:rPr>
                <w:t>https://www.dwds.de</w:t>
              </w:r>
            </w:hyperlink>
            <w:r w:rsidRP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>)</w:t>
            </w:r>
            <w:r w:rsid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>.</w:t>
            </w:r>
            <w:r w:rsidRPr="00B201D2">
              <w:rPr>
                <w:rFonts w:asciiTheme="minorHAnsi" w:hAnsiTheme="minorHAnsi"/>
                <w:bCs/>
                <w:sz w:val="20"/>
                <w:szCs w:val="20"/>
                <w:lang w:val="de-AT"/>
              </w:rPr>
              <w:t xml:space="preserve"> </w:t>
            </w:r>
          </w:p>
        </w:tc>
      </w:tr>
      <w:tr w:rsidR="00D67946" w:rsidRPr="001C33A2" w14:paraId="17101D27" w14:textId="77777777" w:rsidTr="008A693E">
        <w:trPr>
          <w:trHeight w:val="73"/>
        </w:trPr>
        <w:tc>
          <w:tcPr>
            <w:tcW w:w="47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67946" w:rsidRPr="001C33A2" w14:paraId="572FDB32" w14:textId="77777777" w:rsidTr="008A693E">
        <w:trPr>
          <w:trHeight w:val="778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464" w14:textId="3BD2E66D" w:rsidR="00D67946" w:rsidRPr="001C33A2" w:rsidRDefault="005E6878" w:rsidP="00B201D2">
            <w:pPr>
              <w:pStyle w:val="Telobesedila-zamik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U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 xml:space="preserve">sposobljenost za pridobivanje </w:t>
            </w:r>
            <w:r w:rsidR="00936CBD" w:rsidRPr="001C33A2">
              <w:rPr>
                <w:rFonts w:asciiTheme="minorHAnsi" w:hAnsiTheme="minorHAnsi"/>
                <w:sz w:val="20"/>
                <w:szCs w:val="20"/>
              </w:rPr>
              <w:t xml:space="preserve">strokovne terminologije 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 xml:space="preserve">in posredovanje informacij v nemškem jeziku s področja logistike ter obvladanje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relevantne 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>funkcijske zvrsti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s področja oskrbovalnih verig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F36E915" w14:textId="34092A0F" w:rsidR="00D67946" w:rsidRPr="001C33A2" w:rsidRDefault="002E730E" w:rsidP="00B201D2">
            <w:pPr>
              <w:pStyle w:val="Telobesedila-zamik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nadgradnja</w:t>
            </w:r>
            <w:r w:rsidR="005E6878"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in</w:t>
            </w:r>
            <w:r w:rsidR="00D67946"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utrjevanje jezikovnega znanja in spretnosti </w:t>
            </w:r>
            <w:r w:rsidR="005E6878" w:rsidRPr="001C33A2">
              <w:rPr>
                <w:rFonts w:asciiTheme="minorHAnsi" w:hAnsiTheme="minorHAnsi"/>
                <w:sz w:val="20"/>
                <w:szCs w:val="20"/>
                <w:lang w:val="pl-PL"/>
              </w:rPr>
              <w:t>(slušno in bralno razumevanje, monološki govor in ustno sporazumevanje ter pisanje)</w:t>
            </w:r>
            <w:r w:rsidR="00D67946" w:rsidRPr="001C33A2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F9A676B" w14:textId="38F5ADE6" w:rsidR="00D67946" w:rsidRPr="001C33A2" w:rsidRDefault="00D67946" w:rsidP="00B201D2">
            <w:pPr>
              <w:pStyle w:val="Telobesedila-zamik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zmožnost </w:t>
            </w:r>
            <w:r w:rsidR="00936CBD"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ustnih in pisnih predstavitev v nemškem jeziku ter </w:t>
            </w: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argumentiranja stališč v nemškem jeziku,</w:t>
            </w:r>
          </w:p>
          <w:p w14:paraId="217E4159" w14:textId="77777777" w:rsidR="00D67946" w:rsidRPr="001C33A2" w:rsidRDefault="00D67946" w:rsidP="00B201D2">
            <w:pPr>
              <w:pStyle w:val="Telobesedila-zamik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usposobljenost za tujejezikovno samoizobraževanje, refleksijo, evalvacijo in vseživljenjsko učenje ter rabo IKT,</w:t>
            </w:r>
          </w:p>
          <w:p w14:paraId="74FBBC6E" w14:textId="77777777" w:rsidR="008137E7" w:rsidRPr="001C33A2" w:rsidRDefault="00D67946" w:rsidP="00B201D2">
            <w:pPr>
              <w:pStyle w:val="Odstavekseznama"/>
              <w:numPr>
                <w:ilvl w:val="0"/>
                <w:numId w:val="9"/>
              </w:numPr>
              <w:ind w:left="357" w:hanging="357"/>
              <w:jc w:val="both"/>
              <w:rPr>
                <w:rFonts w:asciiTheme="minorHAnsi" w:hAnsiTheme="minorHAnsi" w:cs="Century Gothic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zmožnost razumevanja drugačnosti in medkulturne ozaveščenosti.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 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 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 </w:t>
            </w:r>
          </w:p>
          <w:p w14:paraId="02FD0647" w14:textId="62A22A94" w:rsidR="00043F08" w:rsidRDefault="00043F08" w:rsidP="00B201D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248664E" w14:textId="77777777" w:rsidR="00B201D2" w:rsidRPr="001C33A2" w:rsidRDefault="00B201D2" w:rsidP="00B201D2">
            <w:pPr>
              <w:spacing w:after="0"/>
              <w:jc w:val="both"/>
              <w:rPr>
                <w:sz w:val="20"/>
                <w:szCs w:val="20"/>
              </w:rPr>
            </w:pPr>
          </w:p>
          <w:p w14:paraId="70142D56" w14:textId="6A66C0BD" w:rsidR="008137E7" w:rsidRPr="001C33A2" w:rsidRDefault="008137E7" w:rsidP="00B201D2">
            <w:pPr>
              <w:spacing w:after="0"/>
              <w:jc w:val="both"/>
              <w:rPr>
                <w:sz w:val="20"/>
                <w:szCs w:val="20"/>
              </w:rPr>
            </w:pPr>
            <w:r w:rsidRPr="001C33A2">
              <w:rPr>
                <w:sz w:val="20"/>
                <w:szCs w:val="20"/>
              </w:rPr>
              <w:t>Kompetence</w:t>
            </w:r>
            <w:r w:rsidR="00DF3903" w:rsidRPr="001C33A2">
              <w:rPr>
                <w:sz w:val="20"/>
                <w:szCs w:val="20"/>
              </w:rPr>
              <w:t>, ki jih študent</w:t>
            </w:r>
            <w:r w:rsidR="00A82677" w:rsidRPr="001C33A2">
              <w:rPr>
                <w:sz w:val="20"/>
                <w:szCs w:val="20"/>
              </w:rPr>
              <w:t>i</w:t>
            </w:r>
            <w:r w:rsidR="00DF3903" w:rsidRPr="001C33A2">
              <w:rPr>
                <w:sz w:val="20"/>
                <w:szCs w:val="20"/>
              </w:rPr>
              <w:t xml:space="preserve"> </w:t>
            </w:r>
            <w:r w:rsidR="00A82677" w:rsidRPr="001C33A2">
              <w:rPr>
                <w:sz w:val="20"/>
                <w:szCs w:val="20"/>
              </w:rPr>
              <w:t>usvojijo</w:t>
            </w:r>
            <w:r w:rsidRPr="001C33A2">
              <w:rPr>
                <w:sz w:val="20"/>
                <w:szCs w:val="20"/>
              </w:rPr>
              <w:t>:</w:t>
            </w:r>
          </w:p>
          <w:p w14:paraId="511C3567" w14:textId="6BEB32B2" w:rsidR="008137E7" w:rsidRPr="001C33A2" w:rsidRDefault="008137E7" w:rsidP="00B201D2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Študenti skladno s cilji uporabljajo IKT</w:t>
            </w:r>
            <w:r w:rsidR="008B468F" w:rsidRPr="001C33A2">
              <w:rPr>
                <w:rFonts w:asciiTheme="minorHAnsi" w:hAnsiTheme="minorHAnsi"/>
                <w:sz w:val="20"/>
                <w:szCs w:val="20"/>
              </w:rPr>
              <w:t xml:space="preserve"> in strokovno terminologijo v nemščini</w:t>
            </w:r>
            <w:r w:rsidR="00B201D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2397F51" w14:textId="09EA7204" w:rsidR="008137E7" w:rsidRPr="001C33A2" w:rsidRDefault="008B468F" w:rsidP="00B201D2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s</w:t>
            </w:r>
            <w:r w:rsidR="008137E7" w:rsidRPr="001C33A2">
              <w:rPr>
                <w:rFonts w:asciiTheme="minorHAnsi" w:hAnsiTheme="minorHAnsi"/>
                <w:sz w:val="20"/>
                <w:szCs w:val="20"/>
                <w:lang w:val="pl-PL"/>
              </w:rPr>
              <w:t>trokovno</w:t>
            </w:r>
            <w:r w:rsidR="00A82677"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in jezikovno ustrezno</w:t>
            </w:r>
            <w:r w:rsidR="008137E7"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sodelujejo pri timskem delu</w:t>
            </w:r>
            <w:r w:rsidR="00B201D2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3ABEB2C5" w14:textId="5753A592" w:rsidR="008137E7" w:rsidRPr="001C33A2" w:rsidRDefault="008137E7" w:rsidP="00B201D2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uporabljajo različne primerne študijske tehnike in strategije za samoizobraževanje, stalno refleksijo in evalvacijo</w:t>
            </w:r>
            <w:r w:rsidR="008B468F" w:rsidRPr="001C33A2">
              <w:rPr>
                <w:rFonts w:asciiTheme="minorHAnsi" w:hAnsiTheme="minorHAnsi"/>
                <w:sz w:val="20"/>
                <w:szCs w:val="20"/>
              </w:rPr>
              <w:t xml:space="preserve"> in s tem izgrajujejo profesionalno etiko</w:t>
            </w:r>
            <w:r w:rsidR="00B201D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2695E88" w14:textId="03847FD1" w:rsidR="008137E7" w:rsidRPr="001C33A2" w:rsidRDefault="008137E7" w:rsidP="00B201D2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izkazujejo in dograjujejo svoje kompetence vseživljenjskega učenja.</w:t>
            </w:r>
          </w:p>
          <w:p w14:paraId="582EF3EA" w14:textId="5AD50C87" w:rsidR="00D67946" w:rsidRPr="001C33A2" w:rsidRDefault="00D67946" w:rsidP="00B201D2">
            <w:pPr>
              <w:spacing w:after="0"/>
              <w:jc w:val="both"/>
              <w:rPr>
                <w:rFonts w:asciiTheme="minorHAnsi" w:hAnsiTheme="minorHAnsi" w:cs="Century Gothic"/>
                <w:sz w:val="20"/>
                <w:szCs w:val="20"/>
              </w:rPr>
            </w:pPr>
            <w:r w:rsidRPr="001C33A2">
              <w:rPr>
                <w:sz w:val="20"/>
                <w:szCs w:val="20"/>
              </w:rPr>
              <w:t> </w:t>
            </w:r>
            <w:r w:rsidRPr="001C33A2">
              <w:rPr>
                <w:sz w:val="20"/>
                <w:szCs w:val="20"/>
              </w:rPr>
              <w:t> 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67946" w:rsidRPr="001C33A2" w:rsidRDefault="00D67946" w:rsidP="00B201D2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749" w14:textId="4CF90A7C" w:rsidR="00043F08" w:rsidRPr="001C33A2" w:rsidRDefault="006C5019" w:rsidP="00B201D2">
            <w:pPr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 xml:space="preserve">o be able to acquire </w:t>
            </w:r>
            <w:r w:rsidR="00936CBD" w:rsidRPr="001C33A2">
              <w:rPr>
                <w:rFonts w:asciiTheme="minorHAnsi" w:hAnsiTheme="minorHAnsi"/>
                <w:sz w:val="20"/>
                <w:szCs w:val="20"/>
              </w:rPr>
              <w:t xml:space="preserve">professional terminology 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 xml:space="preserve">and give information in  the German language from the field of transport and to master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relevant 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>functions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in the field of supply chains</w:t>
            </w:r>
            <w:r w:rsidR="00D67946" w:rsidRPr="001C33A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112CF48B" w14:textId="77777777" w:rsidR="00043F08" w:rsidRPr="001C33A2" w:rsidRDefault="00897823" w:rsidP="00B201D2">
            <w:pPr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further development and consolidation of language knowledge and skills in all relevant areas (listening and reading comprehension, monologue speech and oral communication and writing),</w:t>
            </w:r>
          </w:p>
          <w:p w14:paraId="2BE07D99" w14:textId="642F99D2" w:rsidR="00D67946" w:rsidRPr="001C33A2" w:rsidRDefault="00D67946" w:rsidP="00B201D2">
            <w:pPr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to be able to </w:t>
            </w:r>
            <w:r w:rsidR="00936CBD" w:rsidRPr="001C33A2">
              <w:rPr>
                <w:rFonts w:asciiTheme="minorHAnsi" w:hAnsiTheme="minorHAnsi"/>
                <w:sz w:val="20"/>
                <w:szCs w:val="20"/>
              </w:rPr>
              <w:t xml:space="preserve">prepare oral and written presentations in German and to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defend their views in German,</w:t>
            </w:r>
          </w:p>
          <w:p w14:paraId="5E3F2182" w14:textId="77777777" w:rsidR="00D67946" w:rsidRPr="001C33A2" w:rsidRDefault="00D67946" w:rsidP="00B201D2">
            <w:pPr>
              <w:numPr>
                <w:ilvl w:val="0"/>
                <w:numId w:val="11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develop the ability to become an autonomous learners of foreign languages, the ability of reflection, evaluation, lifelong learning and the use of ICT,</w:t>
            </w:r>
          </w:p>
          <w:p w14:paraId="50FEA28D" w14:textId="77777777" w:rsidR="00D67946" w:rsidRPr="001C33A2" w:rsidRDefault="00D67946" w:rsidP="00B201D2">
            <w:pPr>
              <w:pStyle w:val="Odstavekseznama"/>
              <w:numPr>
                <w:ilvl w:val="0"/>
                <w:numId w:val="11"/>
              </w:numPr>
              <w:ind w:left="357" w:hanging="357"/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to be able to understand differences and intercultural awareness.</w:t>
            </w:r>
          </w:p>
          <w:p w14:paraId="40692D38" w14:textId="77777777" w:rsidR="008137E7" w:rsidRPr="001C33A2" w:rsidRDefault="008137E7" w:rsidP="00B201D2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AA48E50" w14:textId="15473FE1" w:rsidR="008137E7" w:rsidRPr="001C33A2" w:rsidRDefault="008137E7" w:rsidP="00B201D2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Competen</w:t>
            </w:r>
            <w:r w:rsidR="00A82677" w:rsidRPr="001C33A2">
              <w:rPr>
                <w:rFonts w:asciiTheme="minorHAnsi" w:hAnsiTheme="minorHAnsi"/>
                <w:bCs/>
                <w:sz w:val="20"/>
                <w:szCs w:val="20"/>
              </w:rPr>
              <w:t>ce</w:t>
            </w: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 w:rsidR="00A82677" w:rsidRPr="001C33A2">
              <w:rPr>
                <w:rFonts w:asciiTheme="minorHAnsi" w:hAnsiTheme="minorHAnsi"/>
                <w:bCs/>
                <w:sz w:val="20"/>
                <w:szCs w:val="20"/>
              </w:rPr>
              <w:t xml:space="preserve"> that the students acquire:</w:t>
            </w:r>
          </w:p>
          <w:p w14:paraId="620D151F" w14:textId="0A5EA57F" w:rsidR="008137E7" w:rsidRPr="001C33A2" w:rsidRDefault="008137E7" w:rsidP="00B201D2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Students use ICT </w:t>
            </w:r>
            <w:r w:rsidR="008B468F" w:rsidRPr="001C33A2">
              <w:rPr>
                <w:rFonts w:asciiTheme="minorHAnsi" w:hAnsiTheme="minorHAnsi"/>
                <w:sz w:val="20"/>
                <w:szCs w:val="20"/>
              </w:rPr>
              <w:t xml:space="preserve">and professional terminology in German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according to their goal</w:t>
            </w:r>
            <w:r w:rsidR="00B201D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AF03349" w14:textId="4968A1E6" w:rsidR="008137E7" w:rsidRPr="001C33A2" w:rsidRDefault="008137E7" w:rsidP="00B201D2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show and build their </w:t>
            </w:r>
            <w:r w:rsidR="008B468F" w:rsidRPr="001C33A2">
              <w:rPr>
                <w:rFonts w:asciiTheme="minorHAnsi" w:hAnsiTheme="minorHAnsi"/>
                <w:sz w:val="20"/>
                <w:szCs w:val="20"/>
              </w:rPr>
              <w:t xml:space="preserve">professional and lingual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ability for team work</w:t>
            </w:r>
            <w:r w:rsidR="00B201D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18BE8DD1" w14:textId="02054DFD" w:rsidR="008137E7" w:rsidRPr="001C33A2" w:rsidRDefault="008137E7" w:rsidP="00B201D2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use various adequate learning techniques and strategies for individual study, permanent reflection and evaluation</w:t>
            </w:r>
            <w:r w:rsidR="008B468F" w:rsidRPr="001C33A2">
              <w:rPr>
                <w:rFonts w:asciiTheme="minorHAnsi" w:hAnsiTheme="minorHAnsi"/>
                <w:sz w:val="20"/>
                <w:szCs w:val="20"/>
              </w:rPr>
              <w:t xml:space="preserve"> and through this develop their professional ethics</w:t>
            </w:r>
            <w:r w:rsidR="00B201D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1C5AAA2" w14:textId="2B0BB73E" w:rsidR="008137E7" w:rsidRPr="001C33A2" w:rsidRDefault="008137E7" w:rsidP="00B201D2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they show and build their competences for lifelong learning.</w:t>
            </w:r>
          </w:p>
        </w:tc>
      </w:tr>
      <w:tr w:rsidR="00D67946" w:rsidRPr="001C33A2" w14:paraId="2732D8B1" w14:textId="77777777" w:rsidTr="008A693E">
        <w:trPr>
          <w:trHeight w:val="117"/>
        </w:trPr>
        <w:tc>
          <w:tcPr>
            <w:tcW w:w="47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67946" w:rsidRPr="001C33A2" w14:paraId="355E000C" w14:textId="77777777" w:rsidTr="001C33A2">
        <w:trPr>
          <w:trHeight w:val="5372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DCB" w14:textId="438FF545" w:rsidR="00D67946" w:rsidRPr="001C33A2" w:rsidRDefault="00A82677" w:rsidP="00D67946">
            <w:pPr>
              <w:spacing w:after="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lastRenderedPageBreak/>
              <w:t>Zmožnosti študentov o</w:t>
            </w:r>
            <w:r w:rsidR="008137E7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b zaključku predmeta:</w:t>
            </w:r>
          </w:p>
          <w:p w14:paraId="5933D4F2" w14:textId="77777777" w:rsidR="00D67946" w:rsidRPr="001C33A2" w:rsidRDefault="00D67946" w:rsidP="00B201D2">
            <w:pPr>
              <w:pStyle w:val="Telobesedila-zamik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>Slušno razumevanje:</w:t>
            </w:r>
          </w:p>
          <w:p w14:paraId="347D3FF3" w14:textId="58C52B60" w:rsidR="00D67946" w:rsidRPr="001C33A2" w:rsidRDefault="00D67946" w:rsidP="00D67946">
            <w:pPr>
              <w:pStyle w:val="Telobesedila-zamik"/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Študenti razumejo </w:t>
            </w:r>
            <w:r w:rsidR="002E730E" w:rsidRPr="001C33A2">
              <w:rPr>
                <w:rFonts w:asciiTheme="minorHAnsi" w:hAnsiTheme="minorHAnsi"/>
                <w:sz w:val="20"/>
                <w:szCs w:val="20"/>
                <w:lang w:val="pl-PL"/>
              </w:rPr>
              <w:t>(globalno, selektivno in/ali detajlno) avtentična besedila</w:t>
            </w: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o aktualnih in strokovnih temah,  vezanih na </w:t>
            </w:r>
            <w:r w:rsidR="00574216" w:rsidRPr="001C33A2">
              <w:rPr>
                <w:rFonts w:asciiTheme="minorHAnsi" w:hAnsiTheme="minorHAnsi"/>
                <w:sz w:val="20"/>
                <w:szCs w:val="20"/>
                <w:lang w:val="pl-PL"/>
              </w:rPr>
              <w:t>področje logistike sistemov</w:t>
            </w:r>
            <w:r w:rsidRPr="001C33A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. </w:t>
            </w:r>
          </w:p>
          <w:p w14:paraId="440B26AB" w14:textId="77777777" w:rsidR="00D67946" w:rsidRPr="001C33A2" w:rsidRDefault="00D67946" w:rsidP="00B201D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  <w:t>Bralno razumevanje:</w:t>
            </w:r>
          </w:p>
          <w:p w14:paraId="7AD73C58" w14:textId="32D491DC" w:rsidR="00D67946" w:rsidRPr="001C33A2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Študenti 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ustrezno 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uporabljajo eno-in dvojezične slovarje</w:t>
            </w:r>
            <w:r w:rsidR="002E730E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 in jezikovne priročnike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 za razumevanje avtentičnih besedil v povezavi 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strokovnim področjem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.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 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Primerjajo različne vire informacij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 in z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najo poiskati splošne in specifične informacije. </w:t>
            </w:r>
          </w:p>
          <w:p w14:paraId="2E32EE16" w14:textId="77777777" w:rsidR="00D67946" w:rsidRPr="001C33A2" w:rsidRDefault="00D67946" w:rsidP="00B201D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  <w:t>Govorno sporazumevanje:</w:t>
            </w:r>
          </w:p>
          <w:p w14:paraId="452A23D9" w14:textId="72C965E5" w:rsidR="00D67946" w:rsidRPr="001C33A2" w:rsidRDefault="00D67946" w:rsidP="00B201D2">
            <w:pPr>
              <w:spacing w:after="0"/>
              <w:ind w:left="357"/>
              <w:jc w:val="both"/>
              <w:rPr>
                <w:rFonts w:asciiTheme="minorHAnsi" w:hAnsiTheme="minorHAnsi"/>
                <w:b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Študenti dokaj tekoče in pravilno komunicirajo v nemškem jeziku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 na svojem strokovnem področju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. Sodelujejo v strokovnih predstavitvah, poslovnih situacijah, diskusijah.</w:t>
            </w:r>
            <w:r w:rsidR="00B201D2">
              <w:rPr>
                <w:rFonts w:asciiTheme="minorHAnsi" w:hAnsiTheme="minorHAnsi"/>
                <w:b/>
                <w:noProof/>
                <w:sz w:val="20"/>
                <w:szCs w:val="20"/>
                <w:lang w:val="pl-PL"/>
              </w:rPr>
              <w:t xml:space="preserve"> 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Predstavljajo seminarske naloge z uporabo tujejezičnih virov.</w:t>
            </w:r>
          </w:p>
          <w:p w14:paraId="7CAE0C60" w14:textId="77777777" w:rsidR="00D67946" w:rsidRPr="001C33A2" w:rsidRDefault="00D67946" w:rsidP="00B201D2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</w:pPr>
            <w:r w:rsidRPr="001C33A2">
              <w:rPr>
                <w:rFonts w:asciiTheme="minorHAnsi" w:hAnsiTheme="minorHAnsi" w:cs="Arial"/>
                <w:noProof/>
                <w:sz w:val="20"/>
                <w:szCs w:val="20"/>
                <w:lang w:val="pl-PL"/>
              </w:rPr>
              <w:t>Pisno sporazumevanje:</w:t>
            </w:r>
          </w:p>
          <w:p w14:paraId="45223495" w14:textId="75AFD567" w:rsidR="00D67946" w:rsidRPr="001C33A2" w:rsidRDefault="00D67946" w:rsidP="001C33A2">
            <w:pPr>
              <w:spacing w:after="0"/>
              <w:ind w:left="357"/>
              <w:jc w:val="both"/>
              <w:rPr>
                <w:sz w:val="20"/>
                <w:szCs w:val="20"/>
              </w:rPr>
            </w:pP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Pisno sestavljajo povzetke, 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razne 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predstavit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ve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, ponudbe, povpraševanja, reklamacije, </w:t>
            </w:r>
            <w:r w:rsidR="00574216"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>idr</w:t>
            </w:r>
            <w:r w:rsidRPr="001C33A2">
              <w:rPr>
                <w:rFonts w:asciiTheme="minorHAnsi" w:hAnsiTheme="minorHAnsi"/>
                <w:noProof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67946" w:rsidRPr="001C33A2" w:rsidRDefault="00D67946" w:rsidP="00D67946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D67946" w:rsidRPr="001C33A2" w:rsidRDefault="00D67946" w:rsidP="00D67946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D67946" w:rsidRPr="001C33A2" w:rsidRDefault="00D67946" w:rsidP="00D67946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8CD" w14:textId="3B5B0584" w:rsidR="00D67946" w:rsidRPr="001C33A2" w:rsidRDefault="00A82677" w:rsidP="00D67946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At the end the students are able to</w:t>
            </w:r>
            <w:r w:rsidR="008137E7" w:rsidRPr="001C33A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3CF7ACE" w14:textId="77777777" w:rsidR="00D67946" w:rsidRPr="001C33A2" w:rsidRDefault="00D67946" w:rsidP="00B201D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>Listening skills</w:t>
            </w:r>
          </w:p>
          <w:p w14:paraId="79A722B9" w14:textId="7392A235" w:rsidR="00D67946" w:rsidRPr="001C33A2" w:rsidRDefault="00D67946" w:rsidP="00D67946">
            <w:pPr>
              <w:pStyle w:val="Odstavekseznama"/>
              <w:ind w:left="36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Students understand </w:t>
            </w:r>
            <w:r w:rsidR="003476C6"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>(globally, selectively and/or detailed) authentic texts</w:t>
            </w:r>
            <w:r w:rsidR="00897823"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related to the field of systems logistics.</w:t>
            </w:r>
          </w:p>
          <w:p w14:paraId="1BEC1702" w14:textId="77777777" w:rsidR="00D67946" w:rsidRPr="001C33A2" w:rsidRDefault="00D67946" w:rsidP="00B201D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>Reading skills</w:t>
            </w:r>
          </w:p>
          <w:p w14:paraId="4B3B6EAF" w14:textId="4E34AC52" w:rsidR="00D67946" w:rsidRPr="001C33A2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Students 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 xml:space="preserve">adequately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use monolingual and bilingual dictionaries</w:t>
            </w:r>
            <w:r w:rsidR="003476C6" w:rsidRPr="001C33A2">
              <w:rPr>
                <w:rFonts w:asciiTheme="minorHAnsi" w:hAnsiTheme="minorHAnsi"/>
                <w:sz w:val="20"/>
                <w:szCs w:val="20"/>
              </w:rPr>
              <w:t xml:space="preserve"> and language manuals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for understanding authentic texts related to their 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>professional field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 xml:space="preserve">They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compare various sources of information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are able to find specific and general information.</w:t>
            </w:r>
          </w:p>
          <w:p w14:paraId="421209F0" w14:textId="77777777" w:rsidR="00D67946" w:rsidRPr="001C33A2" w:rsidRDefault="00D67946" w:rsidP="00B201D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>Speaking skills:</w:t>
            </w:r>
          </w:p>
          <w:p w14:paraId="22F41856" w14:textId="566A2571" w:rsidR="00D67946" w:rsidRPr="001C33A2" w:rsidRDefault="00D67946" w:rsidP="008B468F">
            <w:p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Students are able to relatively fluently and accurately express themselves in German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 xml:space="preserve"> for spec</w:t>
            </w:r>
            <w:r w:rsidR="006C6383" w:rsidRPr="001C33A2">
              <w:rPr>
                <w:rFonts w:asciiTheme="minorHAnsi" w:hAnsiTheme="minorHAnsi"/>
                <w:sz w:val="20"/>
                <w:szCs w:val="20"/>
              </w:rPr>
              <w:t>ific</w:t>
            </w:r>
            <w:r w:rsidR="00897823" w:rsidRPr="001C33A2">
              <w:rPr>
                <w:rFonts w:asciiTheme="minorHAnsi" w:hAnsiTheme="minorHAnsi"/>
                <w:sz w:val="20"/>
                <w:szCs w:val="20"/>
              </w:rPr>
              <w:t xml:space="preserve"> purposes (system logistics)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. Students participate in professional presentations, business situations and discussions.</w:t>
            </w:r>
            <w:r w:rsidR="008B468F" w:rsidRPr="001C33A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Students give presentations on their seminar works, which are based on resources in foreign languages.  </w:t>
            </w:r>
          </w:p>
          <w:p w14:paraId="09566C18" w14:textId="77777777" w:rsidR="00D67946" w:rsidRPr="001C33A2" w:rsidRDefault="00D67946" w:rsidP="00B201D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C33A2">
              <w:rPr>
                <w:rFonts w:asciiTheme="minorHAnsi" w:hAnsiTheme="minorHAnsi" w:cs="Arial"/>
                <w:sz w:val="20"/>
                <w:szCs w:val="20"/>
                <w:lang w:val="en-GB"/>
              </w:rPr>
              <w:t>Writing skills:</w:t>
            </w:r>
          </w:p>
          <w:p w14:paraId="06D50644" w14:textId="4E7D4726" w:rsidR="00D67946" w:rsidRPr="001C33A2" w:rsidRDefault="00D67946" w:rsidP="00043F08">
            <w:pPr>
              <w:spacing w:after="0"/>
              <w:ind w:left="357"/>
              <w:jc w:val="both"/>
              <w:rPr>
                <w:rFonts w:cs="Arial"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 xml:space="preserve">Students prepare written summaries, </w:t>
            </w:r>
            <w:r w:rsidR="00124C66" w:rsidRPr="001C33A2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presentation</w:t>
            </w:r>
            <w:r w:rsidR="00124C66" w:rsidRPr="001C33A2">
              <w:rPr>
                <w:rFonts w:asciiTheme="minorHAnsi" w:hAnsiTheme="minorHAnsi"/>
                <w:sz w:val="20"/>
                <w:szCs w:val="20"/>
              </w:rPr>
              <w:t>s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, offers and demands, letter</w:t>
            </w:r>
            <w:r w:rsidR="00124C66" w:rsidRPr="001C33A2">
              <w:rPr>
                <w:rFonts w:asciiTheme="minorHAnsi" w:hAnsiTheme="minorHAnsi"/>
                <w:sz w:val="20"/>
                <w:szCs w:val="20"/>
              </w:rPr>
              <w:t>s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 xml:space="preserve"> of complaint </w:t>
            </w:r>
            <w:r w:rsidR="00124C66" w:rsidRPr="001C33A2">
              <w:rPr>
                <w:rFonts w:asciiTheme="minorHAnsi" w:hAnsiTheme="minorHAnsi"/>
                <w:sz w:val="20"/>
                <w:szCs w:val="20"/>
              </w:rPr>
              <w:t>etc</w:t>
            </w:r>
            <w:r w:rsidRPr="001C33A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67946" w:rsidRPr="001C33A2" w14:paraId="28C61BBA" w14:textId="77777777" w:rsidTr="008A693E">
        <w:tc>
          <w:tcPr>
            <w:tcW w:w="4723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67946" w:rsidRPr="001C33A2" w14:paraId="4C66F302" w14:textId="77777777" w:rsidTr="008A693E">
        <w:trPr>
          <w:trHeight w:val="20"/>
        </w:trPr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69B" w14:textId="2AE15B94" w:rsidR="0062162F" w:rsidRPr="001C33A2" w:rsidRDefault="0062162F" w:rsidP="00B201D2">
            <w:pPr>
              <w:spacing w:after="0"/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1C33A2">
              <w:rPr>
                <w:rFonts w:cs="Calibri"/>
                <w:b/>
                <w:bCs/>
                <w:sz w:val="20"/>
                <w:szCs w:val="20"/>
                <w:lang w:eastAsia="sl-SI"/>
              </w:rPr>
              <w:t>Metode:</w:t>
            </w:r>
            <w:r w:rsidRPr="001C33A2">
              <w:rPr>
                <w:rFonts w:cs="Calibri"/>
                <w:sz w:val="20"/>
                <w:szCs w:val="20"/>
                <w:lang w:eastAsia="sl-SI"/>
              </w:rPr>
              <w:t xml:space="preserve"> Razlaga, razgovor, predstavitev,delo z besedilom</w:t>
            </w:r>
            <w:r w:rsidR="00B201D2">
              <w:rPr>
                <w:rFonts w:cs="Calibri"/>
                <w:sz w:val="20"/>
                <w:szCs w:val="20"/>
                <w:lang w:eastAsia="sl-SI"/>
              </w:rPr>
              <w:t>.</w:t>
            </w:r>
            <w:r w:rsidRPr="001C33A2">
              <w:rPr>
                <w:rFonts w:cs="Calibri"/>
                <w:sz w:val="20"/>
                <w:szCs w:val="20"/>
                <w:lang w:eastAsia="sl-SI"/>
              </w:rPr>
              <w:t> </w:t>
            </w:r>
          </w:p>
          <w:p w14:paraId="6D5E25F4" w14:textId="0D3AA1B3" w:rsidR="0062162F" w:rsidRPr="001C33A2" w:rsidRDefault="0062162F" w:rsidP="00B201D2">
            <w:pPr>
              <w:spacing w:after="0"/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1C33A2">
              <w:rPr>
                <w:rFonts w:cs="Calibri"/>
                <w:b/>
                <w:bCs/>
                <w:sz w:val="20"/>
                <w:szCs w:val="20"/>
                <w:lang w:eastAsia="sl-SI"/>
              </w:rPr>
              <w:t>Pristopi:</w:t>
            </w:r>
            <w:r w:rsidR="00B201D2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  <w:r w:rsidRPr="001C33A2">
              <w:rPr>
                <w:rFonts w:cs="Calibri"/>
                <w:sz w:val="20"/>
                <w:szCs w:val="20"/>
                <w:lang w:eastAsia="sl-SI"/>
              </w:rPr>
              <w:t>Obrnjeno učenje, sodelovalno učenje, diferencirano učenje, problemsko učenje , e-učenje, kombinirano učenje</w:t>
            </w:r>
            <w:r w:rsidR="00B201D2">
              <w:rPr>
                <w:rFonts w:cs="Calibri"/>
                <w:sz w:val="20"/>
                <w:szCs w:val="20"/>
                <w:lang w:eastAsia="sl-SI"/>
              </w:rPr>
              <w:t>.</w:t>
            </w:r>
          </w:p>
          <w:p w14:paraId="2A339AFB" w14:textId="1D5A0A66" w:rsidR="00D67946" w:rsidRPr="001C33A2" w:rsidRDefault="0062162F" w:rsidP="00B201D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1C33A2">
              <w:rPr>
                <w:rFonts w:cs="Calibri"/>
                <w:b/>
                <w:bCs/>
                <w:sz w:val="20"/>
                <w:szCs w:val="20"/>
                <w:lang w:eastAsia="sl-SI"/>
              </w:rPr>
              <w:t>Oblike dela:</w:t>
            </w:r>
            <w:r w:rsidRPr="001C33A2">
              <w:rPr>
                <w:rFonts w:cs="Calibri"/>
                <w:sz w:val="20"/>
                <w:szCs w:val="20"/>
                <w:lang w:eastAsia="sl-SI"/>
              </w:rPr>
              <w:t xml:space="preserve"> Frontalno delo, delo v skupinah, delo v dvojicah, individualno delo</w:t>
            </w:r>
            <w:r w:rsidR="00B201D2">
              <w:rPr>
                <w:rFonts w:cs="Calibri"/>
                <w:sz w:val="20"/>
                <w:szCs w:val="20"/>
                <w:lang w:eastAsia="sl-SI"/>
              </w:rPr>
              <w:t>.</w:t>
            </w:r>
            <w:r w:rsidRPr="001C33A2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67946" w:rsidRPr="001C33A2" w:rsidRDefault="00D67946" w:rsidP="00B201D2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0B9" w14:textId="3356FAD4" w:rsidR="0062162F" w:rsidRPr="001C33A2" w:rsidRDefault="0062162F" w:rsidP="00B201D2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606A36">
              <w:rPr>
                <w:rFonts w:eastAsia="Calibri" w:cs="Calibri"/>
                <w:b/>
                <w:bCs/>
                <w:sz w:val="20"/>
                <w:szCs w:val="20"/>
              </w:rPr>
              <w:t>Methods</w:t>
            </w:r>
            <w:r w:rsidRPr="001C33A2">
              <w:rPr>
                <w:rFonts w:eastAsia="Calibri" w:cs="Calibri"/>
                <w:sz w:val="20"/>
                <w:szCs w:val="20"/>
              </w:rPr>
              <w:t>: Explanation, discussion, presentation, text work</w:t>
            </w:r>
            <w:r w:rsidR="00B201D2">
              <w:rPr>
                <w:rFonts w:eastAsia="Calibri" w:cs="Calibri"/>
                <w:sz w:val="20"/>
                <w:szCs w:val="20"/>
              </w:rPr>
              <w:t>.</w:t>
            </w:r>
            <w:r w:rsidRPr="001C33A2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2407CA79" w14:textId="6C978E4A" w:rsidR="0062162F" w:rsidRPr="001C33A2" w:rsidRDefault="0062162F" w:rsidP="00B201D2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606A36">
              <w:rPr>
                <w:rFonts w:eastAsia="Calibri" w:cs="Calibri"/>
                <w:b/>
                <w:bCs/>
                <w:sz w:val="20"/>
                <w:szCs w:val="20"/>
              </w:rPr>
              <w:t>Approaches</w:t>
            </w:r>
            <w:r w:rsidRPr="001C33A2">
              <w:rPr>
                <w:rFonts w:eastAsia="Calibri" w:cs="Calibri"/>
                <w:sz w:val="20"/>
                <w:szCs w:val="20"/>
              </w:rPr>
              <w:t>: Flipped learning, collaborative learning, problem-based learning, E-learning, blended learning</w:t>
            </w:r>
            <w:r w:rsidR="00B201D2">
              <w:rPr>
                <w:rFonts w:eastAsia="Calibri" w:cs="Calibri"/>
                <w:sz w:val="20"/>
                <w:szCs w:val="20"/>
              </w:rPr>
              <w:t>.</w:t>
            </w:r>
            <w:r w:rsidRPr="001C33A2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16E78F08" w14:textId="78A777F5" w:rsidR="00D67946" w:rsidRPr="001C33A2" w:rsidRDefault="0062162F" w:rsidP="00B20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06A36">
              <w:rPr>
                <w:rFonts w:eastAsia="Calibri" w:cs="Calibri"/>
                <w:b/>
                <w:bCs/>
                <w:sz w:val="20"/>
                <w:szCs w:val="20"/>
              </w:rPr>
              <w:t>Forms of work</w:t>
            </w:r>
            <w:r w:rsidRPr="001C33A2">
              <w:rPr>
                <w:rFonts w:eastAsia="Calibri" w:cs="Calibri"/>
                <w:sz w:val="20"/>
                <w:szCs w:val="20"/>
              </w:rPr>
              <w:t>: Frontal work, group work, pair work, individual work</w:t>
            </w:r>
            <w:r w:rsidR="00B201D2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D67946" w:rsidRPr="001C33A2" w14:paraId="0566443A" w14:textId="77777777" w:rsidTr="008A693E">
        <w:tc>
          <w:tcPr>
            <w:tcW w:w="4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67946" w:rsidRPr="001C33A2" w:rsidRDefault="00D67946" w:rsidP="00D67946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D67946" w:rsidRPr="001C33A2" w:rsidRDefault="00D67946" w:rsidP="00D67946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D67946" w:rsidRPr="001C33A2" w:rsidRDefault="00D67946" w:rsidP="00D67946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8A693E" w:rsidRPr="001C33A2" w14:paraId="52B92BAD" w14:textId="77777777" w:rsidTr="008A693E">
        <w:trPr>
          <w:trHeight w:val="20"/>
        </w:trPr>
        <w:tc>
          <w:tcPr>
            <w:tcW w:w="4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030" w14:textId="77777777" w:rsidR="008A693E" w:rsidRPr="001C33A2" w:rsidRDefault="008A693E" w:rsidP="00B201D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>Pisni izpit.</w:t>
            </w:r>
          </w:p>
          <w:p w14:paraId="73D37E4C" w14:textId="1BB75FD5" w:rsidR="008A693E" w:rsidRPr="001C33A2" w:rsidRDefault="008A693E" w:rsidP="00B201D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1C33A2">
              <w:rPr>
                <w:rFonts w:asciiTheme="minorHAnsi" w:hAnsiTheme="minorHAnsi"/>
                <w:bCs/>
                <w:sz w:val="20"/>
                <w:szCs w:val="20"/>
              </w:rPr>
              <w:t xml:space="preserve"> Ustna predstavitev.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2A5" w14:textId="77777777" w:rsidR="008A693E" w:rsidRPr="001C33A2" w:rsidRDefault="008A693E" w:rsidP="008A693E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80 %</w:t>
            </w:r>
          </w:p>
          <w:p w14:paraId="6252E3BC" w14:textId="7C06113B" w:rsidR="008A693E" w:rsidRPr="001C33A2" w:rsidRDefault="008A693E" w:rsidP="008A693E">
            <w:pPr>
              <w:spacing w:after="0"/>
              <w:jc w:val="center"/>
              <w:rPr>
                <w:rFonts w:eastAsia="Calibri" w:cs="Calibri"/>
                <w:strike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sz w:val="20"/>
                <w:szCs w:val="20"/>
                <w:lang w:eastAsia="sl-SI"/>
              </w:rPr>
              <w:t>20 %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492" w14:textId="77777777" w:rsidR="008A693E" w:rsidRPr="00B201D2" w:rsidRDefault="008A693E" w:rsidP="00B201D2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201D2">
              <w:rPr>
                <w:rFonts w:asciiTheme="minorHAnsi" w:hAnsiTheme="minorHAnsi"/>
                <w:sz w:val="20"/>
                <w:szCs w:val="20"/>
              </w:rPr>
              <w:t>Written exam.</w:t>
            </w:r>
          </w:p>
          <w:p w14:paraId="20F78515" w14:textId="1963CA25" w:rsidR="008A693E" w:rsidRPr="001C33A2" w:rsidRDefault="008A693E" w:rsidP="00B201D2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1C33A2">
              <w:rPr>
                <w:rFonts w:asciiTheme="minorHAnsi" w:hAnsiTheme="minorHAnsi"/>
                <w:sz w:val="20"/>
                <w:szCs w:val="20"/>
              </w:rPr>
              <w:t>Oral presentation.</w:t>
            </w:r>
          </w:p>
        </w:tc>
      </w:tr>
      <w:tr w:rsidR="008A693E" w:rsidRPr="001C33A2" w14:paraId="0D823691" w14:textId="77777777" w:rsidTr="021FD019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8A693E" w:rsidRPr="001C33A2" w:rsidRDefault="008A693E" w:rsidP="008A693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8A693E" w:rsidRPr="001C33A2" w:rsidRDefault="008A693E" w:rsidP="008A693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C33A2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A693E" w:rsidRPr="001C33A2" w14:paraId="11013034" w14:textId="77777777" w:rsidTr="021FD019">
        <w:trPr>
          <w:trHeight w:val="694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FA5" w14:textId="0E3A9790" w:rsidR="001062CC" w:rsidRPr="001C33A2" w:rsidRDefault="001062CC" w:rsidP="00B201D2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33A2">
              <w:rPr>
                <w:rFonts w:asciiTheme="minorHAnsi" w:hAnsiTheme="minorHAnsi" w:cstheme="minorHAnsi"/>
                <w:sz w:val="20"/>
                <w:szCs w:val="20"/>
              </w:rPr>
              <w:t>KACJAN, Brigita. Lernerprodukt-Orientierung für ein attraktiveres Fremdsprachenlernen. V: LACHOUT, Martin (ur.), BOHUŠOVÁ, Zuzana (ur.). </w:t>
            </w:r>
            <w:r w:rsidRPr="001C33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Deutsch als Fremdsprache aktiv und attraktiv im Studium, in Lehre und Forschung</w:t>
            </w:r>
            <w:r w:rsidRPr="001C33A2">
              <w:rPr>
                <w:rFonts w:asciiTheme="minorHAnsi" w:hAnsiTheme="minorHAnsi" w:cstheme="minorHAnsi"/>
                <w:sz w:val="20"/>
                <w:szCs w:val="20"/>
              </w:rPr>
              <w:t>. Hamburg: Dr. Kovač, 2022. Str. 228-241, ilustr. Schriftenreihe Lingua, Bd. 61. ISBN 978-3-339-12876-8, ISBN 978-3-339-12877-5. ISSN 1614-5550. [COBISS.SI-ID </w:t>
            </w:r>
            <w:hyperlink r:id="rId15" w:tgtFrame="_blank" w:history="1">
              <w:r w:rsidRPr="001C33A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115568131</w:t>
              </w:r>
            </w:hyperlink>
            <w:r w:rsidRPr="001C33A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B201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FCB854" w14:textId="78D52615" w:rsidR="001062CC" w:rsidRPr="00606A36" w:rsidRDefault="001062CC" w:rsidP="00B201D2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</w:pPr>
            <w:r w:rsidRPr="001C33A2"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  <w:t>LUBEJ, Tatjana, JAZBEC, Saša, KACJAN, Brigita, MLAKAR GRAČNER, Doris, ŽAVSKI BAHČ, Mateja, RAVNJAK, Boštjan, ŠTRITOF, Renata, VIDOVIČ, Manja. Deutsch.info+ : neue Lehransätze für den Deutschunterricht für Lernende mit LRS. Schaurein : praxisorientierte Zeitschrift der slowenischen Deutschlehrer. März 2023, ausgabe, izd. 29/30, 1, str. 10-13, ilustr. ISSN 1318-3605</w:t>
            </w:r>
            <w:r w:rsidR="00B201D2"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  <w:t>.</w:t>
            </w:r>
            <w:r w:rsidRPr="001C33A2"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  <w:t xml:space="preserve"> </w:t>
            </w:r>
          </w:p>
          <w:p w14:paraId="41AC7B40" w14:textId="2422EB5E" w:rsidR="008A693E" w:rsidRPr="00606A36" w:rsidRDefault="001062CC" w:rsidP="00B201D2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33A2"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  <w:t>KACJAN, Brigita. Prečne kompetence in tuji jeziki - izzivi in možnosti za učitelje in učence = Transversal competences and foreign languages - challenges and opportunities for teachers and students. V: LESNIČAR, Barbara (ur.), PODSEDENŠEK, Mirjam (ur.). Jeziki kot steber družbe in posameznika : 4. nacionalna konferenca Jeziki v izobraževanju : zbornik povzetkov : Brdo pri Kranju, 1. julij 2022. Spletna izd. Ljubljana: Zavod RS za šolstvo, 2022. Str. 57-59. ISBN 978-961-03-0707-5</w:t>
            </w:r>
            <w:r w:rsidR="00B201D2">
              <w:rPr>
                <w:rFonts w:asciiTheme="minorHAnsi" w:hAnsiTheme="minorHAnsi" w:cstheme="minorHAnsi"/>
                <w:sz w:val="20"/>
                <w:szCs w:val="20"/>
                <w:lang w:val="de-DE" w:eastAsia="de-DE"/>
              </w:rPr>
              <w:t>.</w:t>
            </w:r>
          </w:p>
        </w:tc>
      </w:tr>
    </w:tbl>
    <w:p w14:paraId="2B55261E" w14:textId="77777777" w:rsidR="005A11E4" w:rsidRPr="001C33A2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1C33A2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1C33A2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09B7" w14:textId="77777777" w:rsidR="00CF5622" w:rsidRDefault="00CF5622" w:rsidP="00703ADE">
      <w:pPr>
        <w:spacing w:after="0"/>
      </w:pPr>
      <w:r>
        <w:separator/>
      </w:r>
    </w:p>
  </w:endnote>
  <w:endnote w:type="continuationSeparator" w:id="0">
    <w:p w14:paraId="55888098" w14:textId="77777777" w:rsidR="00CF5622" w:rsidRDefault="00CF562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CE8C75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6780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6780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8CA9" w14:textId="77777777" w:rsidR="00CF5622" w:rsidRDefault="00CF5622" w:rsidP="00703ADE">
      <w:pPr>
        <w:spacing w:after="0"/>
      </w:pPr>
      <w:r>
        <w:separator/>
      </w:r>
    </w:p>
  </w:footnote>
  <w:footnote w:type="continuationSeparator" w:id="0">
    <w:p w14:paraId="5772D31E" w14:textId="77777777" w:rsidR="00CF5622" w:rsidRDefault="00CF562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F1A"/>
    <w:multiLevelType w:val="hybridMultilevel"/>
    <w:tmpl w:val="97620BE0"/>
    <w:lvl w:ilvl="0" w:tplc="D91C9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10F01"/>
    <w:multiLevelType w:val="hybridMultilevel"/>
    <w:tmpl w:val="8286B3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664"/>
    <w:multiLevelType w:val="hybridMultilevel"/>
    <w:tmpl w:val="61BE25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7668D"/>
    <w:multiLevelType w:val="hybridMultilevel"/>
    <w:tmpl w:val="EEC24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56163C"/>
    <w:multiLevelType w:val="hybridMultilevel"/>
    <w:tmpl w:val="1C96FF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72FBF"/>
    <w:multiLevelType w:val="hybridMultilevel"/>
    <w:tmpl w:val="8DB279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19CC1A4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827B7"/>
    <w:multiLevelType w:val="hybridMultilevel"/>
    <w:tmpl w:val="19961646"/>
    <w:lvl w:ilvl="0" w:tplc="CCB4A8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A90782"/>
    <w:multiLevelType w:val="hybridMultilevel"/>
    <w:tmpl w:val="1E725E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09D1"/>
    <w:multiLevelType w:val="hybridMultilevel"/>
    <w:tmpl w:val="64F69844"/>
    <w:lvl w:ilvl="0" w:tplc="18445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6BFF61A8"/>
    <w:multiLevelType w:val="hybridMultilevel"/>
    <w:tmpl w:val="7F0441C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B641C6"/>
    <w:multiLevelType w:val="hybridMultilevel"/>
    <w:tmpl w:val="0DFAAC9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5669F9"/>
    <w:multiLevelType w:val="hybridMultilevel"/>
    <w:tmpl w:val="5D70E422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5EA7"/>
    <w:multiLevelType w:val="hybridMultilevel"/>
    <w:tmpl w:val="3CFE62D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8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14"/>
  </w:num>
  <w:num w:numId="15">
    <w:abstractNumId w:val="13"/>
  </w:num>
  <w:num w:numId="16">
    <w:abstractNumId w:val="0"/>
  </w:num>
  <w:num w:numId="17">
    <w:abstractNumId w:val="4"/>
  </w:num>
  <w:num w:numId="18">
    <w:abstractNumId w:val="19"/>
  </w:num>
  <w:num w:numId="19">
    <w:abstractNumId w:val="12"/>
  </w:num>
  <w:num w:numId="20">
    <w:abstractNumId w:val="21"/>
  </w:num>
  <w:num w:numId="21">
    <w:abstractNumId w:val="17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LIwMDQxNTUxszBU0lEKTi0uzszPAykwrQUAFKDp0iwAAAA="/>
  </w:docVars>
  <w:rsids>
    <w:rsidRoot w:val="00703ADE"/>
    <w:rsid w:val="00012F1C"/>
    <w:rsid w:val="00013B6A"/>
    <w:rsid w:val="00031EB8"/>
    <w:rsid w:val="00043F08"/>
    <w:rsid w:val="00046B40"/>
    <w:rsid w:val="000523C5"/>
    <w:rsid w:val="00053C25"/>
    <w:rsid w:val="00057B17"/>
    <w:rsid w:val="000625CC"/>
    <w:rsid w:val="00066CAE"/>
    <w:rsid w:val="00067802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04966"/>
    <w:rsid w:val="001062CC"/>
    <w:rsid w:val="001101ED"/>
    <w:rsid w:val="00110395"/>
    <w:rsid w:val="00117781"/>
    <w:rsid w:val="001213B9"/>
    <w:rsid w:val="00124C66"/>
    <w:rsid w:val="00125E00"/>
    <w:rsid w:val="00135DE0"/>
    <w:rsid w:val="001577DF"/>
    <w:rsid w:val="00160D26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233D"/>
    <w:rsid w:val="001B40D3"/>
    <w:rsid w:val="001B4E07"/>
    <w:rsid w:val="001C33A2"/>
    <w:rsid w:val="001C55C4"/>
    <w:rsid w:val="001C65D2"/>
    <w:rsid w:val="001E2782"/>
    <w:rsid w:val="001E2942"/>
    <w:rsid w:val="001E46A5"/>
    <w:rsid w:val="001E5BFE"/>
    <w:rsid w:val="001E5D21"/>
    <w:rsid w:val="001F39D3"/>
    <w:rsid w:val="001F3E26"/>
    <w:rsid w:val="00205467"/>
    <w:rsid w:val="0020786C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E37C8"/>
    <w:rsid w:val="002E730E"/>
    <w:rsid w:val="002F418C"/>
    <w:rsid w:val="002F465F"/>
    <w:rsid w:val="003037B1"/>
    <w:rsid w:val="003168D8"/>
    <w:rsid w:val="00317A91"/>
    <w:rsid w:val="00324BE4"/>
    <w:rsid w:val="0033062E"/>
    <w:rsid w:val="00332EA1"/>
    <w:rsid w:val="00340B4E"/>
    <w:rsid w:val="00341880"/>
    <w:rsid w:val="00344834"/>
    <w:rsid w:val="003463F9"/>
    <w:rsid w:val="003476C6"/>
    <w:rsid w:val="00355781"/>
    <w:rsid w:val="00360075"/>
    <w:rsid w:val="00360354"/>
    <w:rsid w:val="0036175E"/>
    <w:rsid w:val="00367A89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C72FE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1DC9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0DC"/>
    <w:rsid w:val="00574216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6878"/>
    <w:rsid w:val="005F16AE"/>
    <w:rsid w:val="005F49D5"/>
    <w:rsid w:val="005F4B84"/>
    <w:rsid w:val="006016DF"/>
    <w:rsid w:val="00606A36"/>
    <w:rsid w:val="00606BB3"/>
    <w:rsid w:val="006135EC"/>
    <w:rsid w:val="0061471B"/>
    <w:rsid w:val="0062162F"/>
    <w:rsid w:val="006261BD"/>
    <w:rsid w:val="00627C0D"/>
    <w:rsid w:val="00637D21"/>
    <w:rsid w:val="00645458"/>
    <w:rsid w:val="006458D4"/>
    <w:rsid w:val="0067410C"/>
    <w:rsid w:val="00683B5F"/>
    <w:rsid w:val="00685B29"/>
    <w:rsid w:val="006863A2"/>
    <w:rsid w:val="0068792F"/>
    <w:rsid w:val="0069381E"/>
    <w:rsid w:val="0069578E"/>
    <w:rsid w:val="00697296"/>
    <w:rsid w:val="006A20F0"/>
    <w:rsid w:val="006B5AC7"/>
    <w:rsid w:val="006B6B28"/>
    <w:rsid w:val="006C5019"/>
    <w:rsid w:val="006C6383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20A9"/>
    <w:rsid w:val="007264DD"/>
    <w:rsid w:val="00731B8B"/>
    <w:rsid w:val="00740C45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134D"/>
    <w:rsid w:val="007C7DAA"/>
    <w:rsid w:val="007D7287"/>
    <w:rsid w:val="007E49AE"/>
    <w:rsid w:val="007F2C61"/>
    <w:rsid w:val="00802619"/>
    <w:rsid w:val="0080585E"/>
    <w:rsid w:val="008102C2"/>
    <w:rsid w:val="00810E17"/>
    <w:rsid w:val="00811EFC"/>
    <w:rsid w:val="00811FB5"/>
    <w:rsid w:val="008137E7"/>
    <w:rsid w:val="008157D7"/>
    <w:rsid w:val="008320B1"/>
    <w:rsid w:val="00847982"/>
    <w:rsid w:val="0085323E"/>
    <w:rsid w:val="00855234"/>
    <w:rsid w:val="00855585"/>
    <w:rsid w:val="00862C68"/>
    <w:rsid w:val="00863826"/>
    <w:rsid w:val="008670AD"/>
    <w:rsid w:val="00873A16"/>
    <w:rsid w:val="00873F0D"/>
    <w:rsid w:val="00874CA5"/>
    <w:rsid w:val="00877DC2"/>
    <w:rsid w:val="00897823"/>
    <w:rsid w:val="008A0A06"/>
    <w:rsid w:val="008A6780"/>
    <w:rsid w:val="008A693E"/>
    <w:rsid w:val="008A7904"/>
    <w:rsid w:val="008B2370"/>
    <w:rsid w:val="008B468F"/>
    <w:rsid w:val="008B5B1B"/>
    <w:rsid w:val="008C5AC5"/>
    <w:rsid w:val="008C735D"/>
    <w:rsid w:val="008C7A40"/>
    <w:rsid w:val="008D18E5"/>
    <w:rsid w:val="008E6A34"/>
    <w:rsid w:val="008F100C"/>
    <w:rsid w:val="00901166"/>
    <w:rsid w:val="009044E0"/>
    <w:rsid w:val="00905319"/>
    <w:rsid w:val="009060E2"/>
    <w:rsid w:val="00910644"/>
    <w:rsid w:val="00913A49"/>
    <w:rsid w:val="009222E8"/>
    <w:rsid w:val="009322AD"/>
    <w:rsid w:val="00936CBD"/>
    <w:rsid w:val="00957F7A"/>
    <w:rsid w:val="00961B35"/>
    <w:rsid w:val="00961C9A"/>
    <w:rsid w:val="0096279B"/>
    <w:rsid w:val="00991CF4"/>
    <w:rsid w:val="009958CA"/>
    <w:rsid w:val="009B077A"/>
    <w:rsid w:val="009B26AB"/>
    <w:rsid w:val="009B2BFC"/>
    <w:rsid w:val="009C276B"/>
    <w:rsid w:val="009C7E41"/>
    <w:rsid w:val="009D11AD"/>
    <w:rsid w:val="009D174F"/>
    <w:rsid w:val="009D6D7A"/>
    <w:rsid w:val="009E7CBD"/>
    <w:rsid w:val="009F10D9"/>
    <w:rsid w:val="009F24ED"/>
    <w:rsid w:val="009F37EA"/>
    <w:rsid w:val="009F4070"/>
    <w:rsid w:val="00A000D4"/>
    <w:rsid w:val="00A019CC"/>
    <w:rsid w:val="00A0202D"/>
    <w:rsid w:val="00A05420"/>
    <w:rsid w:val="00A13321"/>
    <w:rsid w:val="00A25CCF"/>
    <w:rsid w:val="00A26680"/>
    <w:rsid w:val="00A30466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74156"/>
    <w:rsid w:val="00A81452"/>
    <w:rsid w:val="00A82677"/>
    <w:rsid w:val="00A82CBC"/>
    <w:rsid w:val="00A87467"/>
    <w:rsid w:val="00A87ADF"/>
    <w:rsid w:val="00A87CC4"/>
    <w:rsid w:val="00AC203B"/>
    <w:rsid w:val="00AC243A"/>
    <w:rsid w:val="00AC50D7"/>
    <w:rsid w:val="00AC7DE5"/>
    <w:rsid w:val="00AF0EC5"/>
    <w:rsid w:val="00AF2750"/>
    <w:rsid w:val="00AF382F"/>
    <w:rsid w:val="00B01725"/>
    <w:rsid w:val="00B05658"/>
    <w:rsid w:val="00B062C6"/>
    <w:rsid w:val="00B07275"/>
    <w:rsid w:val="00B07A68"/>
    <w:rsid w:val="00B1469E"/>
    <w:rsid w:val="00B201D2"/>
    <w:rsid w:val="00B32886"/>
    <w:rsid w:val="00B37831"/>
    <w:rsid w:val="00B413D7"/>
    <w:rsid w:val="00B41FC2"/>
    <w:rsid w:val="00B44133"/>
    <w:rsid w:val="00B52FC6"/>
    <w:rsid w:val="00B605A6"/>
    <w:rsid w:val="00B63E7C"/>
    <w:rsid w:val="00B64F30"/>
    <w:rsid w:val="00B65593"/>
    <w:rsid w:val="00B70B70"/>
    <w:rsid w:val="00B73112"/>
    <w:rsid w:val="00B733D9"/>
    <w:rsid w:val="00B91C05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5A62"/>
    <w:rsid w:val="00C23384"/>
    <w:rsid w:val="00C26205"/>
    <w:rsid w:val="00C31227"/>
    <w:rsid w:val="00C35629"/>
    <w:rsid w:val="00C37B10"/>
    <w:rsid w:val="00C4086F"/>
    <w:rsid w:val="00C45A61"/>
    <w:rsid w:val="00C6133B"/>
    <w:rsid w:val="00C63A16"/>
    <w:rsid w:val="00C65B60"/>
    <w:rsid w:val="00C72B00"/>
    <w:rsid w:val="00C73CAE"/>
    <w:rsid w:val="00C83735"/>
    <w:rsid w:val="00C92969"/>
    <w:rsid w:val="00C92B19"/>
    <w:rsid w:val="00C96720"/>
    <w:rsid w:val="00CA78F1"/>
    <w:rsid w:val="00CB4FA1"/>
    <w:rsid w:val="00CB63D9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CF5622"/>
    <w:rsid w:val="00D023A0"/>
    <w:rsid w:val="00D07034"/>
    <w:rsid w:val="00D1099E"/>
    <w:rsid w:val="00D12BC2"/>
    <w:rsid w:val="00D176A8"/>
    <w:rsid w:val="00D17CFB"/>
    <w:rsid w:val="00D216BD"/>
    <w:rsid w:val="00D22E1C"/>
    <w:rsid w:val="00D35CE3"/>
    <w:rsid w:val="00D36EFF"/>
    <w:rsid w:val="00D4141E"/>
    <w:rsid w:val="00D56DEF"/>
    <w:rsid w:val="00D634CF"/>
    <w:rsid w:val="00D656E4"/>
    <w:rsid w:val="00D67946"/>
    <w:rsid w:val="00D822FB"/>
    <w:rsid w:val="00D83E7A"/>
    <w:rsid w:val="00D94920"/>
    <w:rsid w:val="00DB4DAC"/>
    <w:rsid w:val="00DC294C"/>
    <w:rsid w:val="00DD03F7"/>
    <w:rsid w:val="00DD1C7D"/>
    <w:rsid w:val="00DD2B89"/>
    <w:rsid w:val="00DD37BA"/>
    <w:rsid w:val="00DD5C10"/>
    <w:rsid w:val="00DE4599"/>
    <w:rsid w:val="00DF0B31"/>
    <w:rsid w:val="00DF3903"/>
    <w:rsid w:val="00E03C39"/>
    <w:rsid w:val="00E12B7D"/>
    <w:rsid w:val="00E24F2B"/>
    <w:rsid w:val="00E26379"/>
    <w:rsid w:val="00E32D7E"/>
    <w:rsid w:val="00E3517F"/>
    <w:rsid w:val="00E40AE8"/>
    <w:rsid w:val="00E61420"/>
    <w:rsid w:val="00E61E60"/>
    <w:rsid w:val="00E638E3"/>
    <w:rsid w:val="00E6416F"/>
    <w:rsid w:val="00E6704B"/>
    <w:rsid w:val="00E70FEA"/>
    <w:rsid w:val="00E73B7E"/>
    <w:rsid w:val="00E76AEB"/>
    <w:rsid w:val="00E84030"/>
    <w:rsid w:val="00E8487A"/>
    <w:rsid w:val="00E84AC7"/>
    <w:rsid w:val="00E856E6"/>
    <w:rsid w:val="00E919CA"/>
    <w:rsid w:val="00E935CE"/>
    <w:rsid w:val="00E93F6A"/>
    <w:rsid w:val="00EB3E05"/>
    <w:rsid w:val="00EB3F95"/>
    <w:rsid w:val="00EB6B47"/>
    <w:rsid w:val="00EB6E20"/>
    <w:rsid w:val="00EB7E3F"/>
    <w:rsid w:val="00EC0DAE"/>
    <w:rsid w:val="00ED2560"/>
    <w:rsid w:val="00ED74DD"/>
    <w:rsid w:val="00EF335F"/>
    <w:rsid w:val="00EF375E"/>
    <w:rsid w:val="00EF5547"/>
    <w:rsid w:val="00F02874"/>
    <w:rsid w:val="00F036F4"/>
    <w:rsid w:val="00F12416"/>
    <w:rsid w:val="00F128BD"/>
    <w:rsid w:val="00F23A76"/>
    <w:rsid w:val="00F36598"/>
    <w:rsid w:val="00F4075A"/>
    <w:rsid w:val="00F44BC1"/>
    <w:rsid w:val="00F51390"/>
    <w:rsid w:val="00F57C69"/>
    <w:rsid w:val="00F632DB"/>
    <w:rsid w:val="00F734B4"/>
    <w:rsid w:val="00F734DA"/>
    <w:rsid w:val="00F74CD5"/>
    <w:rsid w:val="00FA00CC"/>
    <w:rsid w:val="00FA10EF"/>
    <w:rsid w:val="00FA2AF8"/>
    <w:rsid w:val="00FA2FAA"/>
    <w:rsid w:val="00FA425D"/>
    <w:rsid w:val="00FA75EF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21FD019"/>
    <w:rsid w:val="6661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Revizija">
    <w:name w:val="Revision"/>
    <w:hidden/>
    <w:uiPriority w:val="99"/>
    <w:semiHidden/>
    <w:rsid w:val="009C7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tavekseznamaZnak">
    <w:name w:val="Odstavek seznama Znak"/>
    <w:link w:val="Odstavekseznama"/>
    <w:uiPriority w:val="34"/>
    <w:rsid w:val="005F4B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den.d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stik-heute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logistik.com/logistik-lexik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us.si.cobiss.net/opac7/bib/115568131?lang=s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wds.d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2" ma:contentTypeDescription="Create a new document." ma:contentTypeScope="" ma:versionID="209ab7da80659458a29d185f7784380e">
  <xsd:schema xmlns:xsd="http://www.w3.org/2001/XMLSchema" xmlns:xs="http://www.w3.org/2001/XMLSchema" xmlns:p="http://schemas.microsoft.com/office/2006/metadata/properties" xmlns:ns2="55d4f91d-b3e9-4367-b6f9-19b8703d9522" targetNamespace="http://schemas.microsoft.com/office/2006/metadata/properties" ma:root="true" ma:fieldsID="77003afb612e900e1ce75d59bbf69810" ns2:_="">
    <xsd:import namespace="55d4f91d-b3e9-4367-b6f9-19b8703d9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84B0C-2C65-4E53-9C20-2196FBA6F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2D4E0-406B-48F2-9742-75E2AC640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CFD35-F8CF-479C-B50A-A01422208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487D5-E80F-446A-966E-B2A4227FA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1204</Words>
  <Characters>8612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2022-08-30T08:22:00Z</cp:lastPrinted>
  <dcterms:created xsi:type="dcterms:W3CDTF">2026-01-13T09:02:00Z</dcterms:created>
  <dcterms:modified xsi:type="dcterms:W3CDTF">2026-03-17T10:06:00Z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4f9a8e07b92ee1d6afca46b428239a10a84e4a8394a3e12a13dbadab545ad538</vt:lpwstr>
  </property>
</Properties>
</file>