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71733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5A11E4" w:rsidRPr="0049183D" w14:paraId="36413FBF" w14:textId="77777777" w:rsidTr="00B71733">
        <w:tc>
          <w:tcPr>
            <w:tcW w:w="1797" w:type="dxa"/>
            <w:gridSpan w:val="2"/>
          </w:tcPr>
          <w:p w14:paraId="72C1DC59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C7366C1" w:rsidR="005A11E4" w:rsidRPr="0049183D" w:rsidRDefault="00491D47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 w:cs="Arial"/>
                <w:b/>
                <w:lang w:eastAsia="sl-SI"/>
              </w:rPr>
              <w:t>VOJAŠKI MANAGEMENT, VODITELJSTVO IN VOJAŠKA ETIKA</w:t>
            </w:r>
          </w:p>
        </w:tc>
      </w:tr>
      <w:tr w:rsidR="005A11E4" w:rsidRPr="0049183D" w14:paraId="12BB578E" w14:textId="77777777" w:rsidTr="00B71733">
        <w:tc>
          <w:tcPr>
            <w:tcW w:w="1797" w:type="dxa"/>
            <w:gridSpan w:val="2"/>
          </w:tcPr>
          <w:p w14:paraId="003758B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664B108" w:rsidR="005A11E4" w:rsidRPr="00661D97" w:rsidRDefault="00661D97" w:rsidP="00B71733">
            <w:pPr>
              <w:spacing w:after="0"/>
              <w:rPr>
                <w:rFonts w:asciiTheme="minorHAnsi" w:eastAsia="Calibri" w:hAnsiTheme="minorHAnsi" w:cstheme="minorHAnsi"/>
                <w:b/>
                <w:lang w:eastAsia="sl-SI"/>
              </w:rPr>
            </w:pPr>
            <w:r w:rsidRPr="00661D97">
              <w:rPr>
                <w:rFonts w:asciiTheme="minorHAnsi" w:eastAsiaTheme="minorHAnsi" w:hAnsiTheme="minorHAnsi" w:cstheme="minorHAnsi"/>
                <w:b/>
                <w:color w:val="000000"/>
              </w:rPr>
              <w:t>MILITARY MANAGEMENT, LEADERSHIP AND MILITARY ETHICS</w:t>
            </w:r>
          </w:p>
        </w:tc>
      </w:tr>
      <w:tr w:rsidR="005A11E4" w:rsidRPr="0049183D" w14:paraId="0BB44B80" w14:textId="77777777" w:rsidTr="00B71733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B71733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05D58" w:rsidRPr="0049183D" w14:paraId="23FFFBED" w14:textId="77777777" w:rsidTr="00B71733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7EF9C9" w:rsidR="00605D58" w:rsidRPr="0049183D" w:rsidRDefault="00605D58" w:rsidP="00605D58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GOSPODARSKA IN TEHNIŠKA LOGISTIKA 1.stopnja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A21DCE5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0F9F891" w:rsidR="00605D58" w:rsidRPr="0049183D" w:rsidRDefault="0063256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  <w:r w:rsidR="00605D58" w:rsidRPr="00BB574F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05D58" w:rsidRPr="0049183D" w14:paraId="4AE235F2" w14:textId="77777777" w:rsidTr="00B71733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6415402" w:rsidR="00605D58" w:rsidRPr="0049183D" w:rsidRDefault="00605D58" w:rsidP="00605D58">
            <w:pPr>
              <w:spacing w:after="0"/>
              <w:rPr>
                <w:rFonts w:eastAsia="Calibri" w:cs="Calibri"/>
                <w:bCs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ECONOMIC AND TECHNICAL LOGISTICS 1.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4446978F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D30DB09" w:rsidR="00605D58" w:rsidRPr="0049183D" w:rsidRDefault="0063256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6</w:t>
            </w:r>
            <w:r w:rsidR="00605D58" w:rsidRPr="00BB574F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05D58" w:rsidRPr="0049183D" w14:paraId="1E148366" w14:textId="77777777" w:rsidTr="00B71733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05D58" w:rsidRPr="0049183D" w14:paraId="53363266" w14:textId="77777777" w:rsidTr="00B71733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605D58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BA12DCF" w:rsidR="00605D58" w:rsidRPr="0049183D" w:rsidRDefault="00605D58" w:rsidP="00605D58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605D58" w:rsidRPr="0049183D" w14:paraId="6024E532" w14:textId="77777777" w:rsidTr="00B71733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B203BF3" w:rsidR="00605D58" w:rsidRPr="001848D1" w:rsidRDefault="00605D58" w:rsidP="00605D58">
            <w:pPr>
              <w:spacing w:after="0"/>
              <w:rPr>
                <w:rFonts w:eastAsia="Calibri" w:cs="Calibri"/>
                <w:lang w:val="en-GB" w:eastAsia="sl-SI"/>
              </w:rPr>
            </w:pPr>
          </w:p>
        </w:tc>
      </w:tr>
      <w:tr w:rsidR="00605D58" w:rsidRPr="0049183D" w14:paraId="6B1B7C32" w14:textId="77777777" w:rsidTr="00B71733">
        <w:tc>
          <w:tcPr>
            <w:tcW w:w="5716" w:type="dxa"/>
            <w:gridSpan w:val="13"/>
          </w:tcPr>
          <w:p w14:paraId="02799658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605D58" w:rsidRPr="0049183D" w:rsidRDefault="00605D58" w:rsidP="00605D58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605D58" w:rsidRPr="0049183D" w14:paraId="5DB8E894" w14:textId="77777777" w:rsidTr="00B71733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806EF78" w:rsidR="00605D58" w:rsidRPr="0049183D" w:rsidRDefault="00605D58" w:rsidP="00605D58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VS</w:t>
            </w:r>
          </w:p>
        </w:tc>
      </w:tr>
      <w:tr w:rsidR="00605D58" w:rsidRPr="0049183D" w14:paraId="5FC48C48" w14:textId="77777777" w:rsidTr="00B71733">
        <w:tc>
          <w:tcPr>
            <w:tcW w:w="9690" w:type="dxa"/>
            <w:gridSpan w:val="19"/>
          </w:tcPr>
          <w:p w14:paraId="19BF6CFB" w14:textId="77777777" w:rsidR="00605D58" w:rsidRPr="0049183D" w:rsidRDefault="00605D58" w:rsidP="00605D58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605D58" w:rsidRPr="0049183D" w14:paraId="69EB4177" w14:textId="77777777" w:rsidTr="00B7173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605D58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605D58" w:rsidRPr="0049183D" w14:paraId="6C3C0BA4" w14:textId="77777777" w:rsidTr="00B7173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5580E" w14:textId="58B02ADF" w:rsidR="007D4C26" w:rsidRPr="009A1131" w:rsidRDefault="007D4C26" w:rsidP="007D4C2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9A1131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21 e-P</w:t>
            </w:r>
          </w:p>
          <w:p w14:paraId="013B6061" w14:textId="26E97395" w:rsidR="00605D58" w:rsidRPr="007D4C26" w:rsidRDefault="007D4C26" w:rsidP="007D4C2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A1131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24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1302078F" w:rsidR="00605D58" w:rsidRPr="0049183D" w:rsidRDefault="00E90AB3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65BE8E2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6</w:t>
            </w:r>
          </w:p>
        </w:tc>
      </w:tr>
      <w:tr w:rsidR="00605D58" w:rsidRPr="0049183D" w14:paraId="33611488" w14:textId="77777777" w:rsidTr="00B7173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5982B38A" w:rsidR="00605D58" w:rsidRPr="0049183D" w:rsidRDefault="007D4C26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a-</w:t>
            </w:r>
            <w:r w:rsidR="00605D58" w:rsidRPr="0049183D">
              <w:rPr>
                <w:rFonts w:eastAsia="Calibri" w:cs="Calibri"/>
                <w:b/>
                <w:bCs/>
                <w:lang w:eastAsia="sl-SI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1AC49ABA" w:rsidR="00605D58" w:rsidRPr="0049183D" w:rsidRDefault="007D4C26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e-</w:t>
            </w:r>
            <w:r w:rsidR="00605D58" w:rsidRPr="0049183D">
              <w:rPr>
                <w:rFonts w:eastAsia="Calibri" w:cs="Calibri"/>
                <w:b/>
                <w:bCs/>
                <w:lang w:eastAsia="sl-SI"/>
              </w:rPr>
              <w:t>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481AC649" w:rsidR="00605D58" w:rsidRPr="0049183D" w:rsidRDefault="007D4C26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L</w:t>
            </w:r>
            <w:r w:rsidR="00605D58" w:rsidRPr="0049183D">
              <w:rPr>
                <w:rFonts w:eastAsia="Calibri" w:cs="Calibri"/>
                <w:b/>
                <w:bCs/>
                <w:lang w:eastAsia="sl-SI"/>
              </w:rPr>
              <w:t>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05D58" w:rsidRPr="0049183D" w14:paraId="3AFC1636" w14:textId="77777777" w:rsidTr="00B7173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58EB1BF2" w:rsidR="00605D58" w:rsidRPr="0049183D" w:rsidRDefault="007D4C26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24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336689FA" w:rsidR="00605D58" w:rsidRPr="0049183D" w:rsidRDefault="007D4C26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21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605D58" w:rsidRPr="0049183D" w:rsidRDefault="00605D58" w:rsidP="00605D5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05D58" w:rsidRPr="0049183D" w14:paraId="6194853B" w14:textId="77777777" w:rsidTr="00B71733">
        <w:tc>
          <w:tcPr>
            <w:tcW w:w="9690" w:type="dxa"/>
            <w:gridSpan w:val="19"/>
          </w:tcPr>
          <w:p w14:paraId="73ECE184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605D58" w:rsidRPr="0049183D" w14:paraId="695F6595" w14:textId="77777777" w:rsidTr="00B71733">
        <w:tc>
          <w:tcPr>
            <w:tcW w:w="3305" w:type="dxa"/>
            <w:gridSpan w:val="6"/>
          </w:tcPr>
          <w:p w14:paraId="19C80114" w14:textId="77777777" w:rsidR="00605D58" w:rsidRPr="0049183D" w:rsidRDefault="00605D58" w:rsidP="00605D5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50FF2721" w:rsidR="00605D58" w:rsidRPr="004F0E4C" w:rsidRDefault="004F0E4C" w:rsidP="00605D58">
            <w:pPr>
              <w:spacing w:after="0"/>
              <w:rPr>
                <w:rFonts w:eastAsia="Calibri" w:cs="Calibri"/>
                <w:lang w:eastAsia="sl-SI"/>
              </w:rPr>
            </w:pPr>
            <w:r w:rsidRPr="004F0E4C">
              <w:rPr>
                <w:rFonts w:eastAsia="Calibri" w:cs="Calibri"/>
                <w:lang w:eastAsia="sl-SI"/>
              </w:rPr>
              <w:t>Iztok Podbregar</w:t>
            </w:r>
          </w:p>
        </w:tc>
      </w:tr>
      <w:tr w:rsidR="00605D58" w:rsidRPr="0049183D" w14:paraId="373ADDF1" w14:textId="77777777" w:rsidTr="00B71733">
        <w:tc>
          <w:tcPr>
            <w:tcW w:w="9690" w:type="dxa"/>
            <w:gridSpan w:val="19"/>
          </w:tcPr>
          <w:p w14:paraId="0BC8F3BA" w14:textId="77777777" w:rsidR="00605D58" w:rsidRPr="0049183D" w:rsidRDefault="00605D58" w:rsidP="00605D58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39456A" w:rsidRPr="0049183D" w14:paraId="2546E5AF" w14:textId="77777777" w:rsidTr="00B71733">
        <w:tc>
          <w:tcPr>
            <w:tcW w:w="2296" w:type="dxa"/>
            <w:gridSpan w:val="3"/>
            <w:vMerge w:val="restart"/>
          </w:tcPr>
          <w:p w14:paraId="6861494E" w14:textId="77777777" w:rsidR="0039456A" w:rsidRPr="0049183D" w:rsidRDefault="0039456A" w:rsidP="0039456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39456A" w:rsidRPr="0049183D" w:rsidRDefault="0039456A" w:rsidP="0039456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318DE99" w:rsidR="0039456A" w:rsidRPr="0049183D" w:rsidRDefault="0039456A" w:rsidP="0039456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B574F">
              <w:rPr>
                <w:rFonts w:asciiTheme="minorHAnsi" w:hAnsiTheme="minorHAnsi" w:cstheme="minorHAnsi"/>
              </w:rPr>
              <w:t>SLOVENSKI / SLOVENE</w:t>
            </w:r>
          </w:p>
        </w:tc>
      </w:tr>
      <w:tr w:rsidR="0039456A" w:rsidRPr="0049183D" w14:paraId="0712B376" w14:textId="77777777" w:rsidTr="00B7173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39456A" w:rsidRPr="0049183D" w:rsidRDefault="0039456A" w:rsidP="0039456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6C204A47" w:rsidR="0039456A" w:rsidRPr="0049183D" w:rsidRDefault="0039456A" w:rsidP="0039456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B574F">
              <w:rPr>
                <w:rFonts w:asciiTheme="minorHAnsi" w:hAnsiTheme="minorHAnsi" w:cstheme="minorHAnsi"/>
              </w:rPr>
              <w:t>SLOVENSKI / SLOVENE</w:t>
            </w:r>
          </w:p>
        </w:tc>
      </w:tr>
      <w:tr w:rsidR="0039456A" w:rsidRPr="0049183D" w14:paraId="0BB418C6" w14:textId="77777777" w:rsidTr="00B71733"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9456A" w:rsidRPr="0049183D" w14:paraId="273ADA0E" w14:textId="77777777" w:rsidTr="00B71733">
        <w:trPr>
          <w:trHeight w:val="275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4C08643" w:rsidR="0039456A" w:rsidRPr="0049183D" w:rsidRDefault="0039456A" w:rsidP="0039456A">
            <w:pPr>
              <w:spacing w:after="0"/>
              <w:rPr>
                <w:rFonts w:eastAsia="Calibri"/>
                <w:lang w:eastAsia="sl-SI"/>
              </w:rPr>
            </w:pPr>
            <w:r w:rsidRPr="00BB574F">
              <w:rPr>
                <w:rFonts w:asciiTheme="minorHAnsi" w:hAnsiTheme="minorHAnsi" w:cs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9456A" w:rsidRPr="0049183D" w:rsidRDefault="0039456A" w:rsidP="0039456A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8EB8585" w:rsidR="0039456A" w:rsidRPr="0049183D" w:rsidRDefault="0039456A" w:rsidP="0039456A">
            <w:pPr>
              <w:spacing w:after="0"/>
              <w:rPr>
                <w:rFonts w:eastAsia="Calibri"/>
                <w:lang w:eastAsia="sl-SI"/>
              </w:rPr>
            </w:pPr>
            <w:r w:rsidRPr="00BB574F">
              <w:rPr>
                <w:rFonts w:asciiTheme="minorHAnsi" w:hAnsiTheme="minorHAnsi" w:cstheme="minorHAnsi"/>
                <w:bCs/>
              </w:rPr>
              <w:t>None</w:t>
            </w:r>
          </w:p>
        </w:tc>
      </w:tr>
      <w:tr w:rsidR="0039456A" w:rsidRPr="0049183D" w14:paraId="32638BBD" w14:textId="77777777" w:rsidTr="00B71733">
        <w:trPr>
          <w:trHeight w:val="137"/>
        </w:trPr>
        <w:tc>
          <w:tcPr>
            <w:tcW w:w="47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9456A" w:rsidRPr="0049183D" w:rsidRDefault="0039456A" w:rsidP="0039456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39456A" w:rsidRPr="0049183D" w14:paraId="4EDFC7EE" w14:textId="77777777" w:rsidTr="00B71733">
        <w:trPr>
          <w:trHeight w:val="1119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9F5" w14:textId="77777777" w:rsidR="00491D47" w:rsidRPr="00677BD4" w:rsidRDefault="00491D47" w:rsidP="00491D47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koncept vojaškega voditeljstva, poveljevanja in kontrole, </w:t>
            </w:r>
          </w:p>
          <w:p w14:paraId="3118ED58" w14:textId="77777777" w:rsidR="00491D47" w:rsidRPr="00677BD4" w:rsidRDefault="00491D47" w:rsidP="00491D47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metode raziskovanja vojaške veščine in operacijskega raziskovanja </w:t>
            </w:r>
          </w:p>
          <w:p w14:paraId="24560B6F" w14:textId="77777777" w:rsidR="00491D47" w:rsidRPr="00677BD4" w:rsidRDefault="00491D47" w:rsidP="00491D47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proces načrtovanja vojaških aktivnosti </w:t>
            </w:r>
          </w:p>
          <w:p w14:paraId="14015939" w14:textId="77777777" w:rsidR="00491D47" w:rsidRPr="00677BD4" w:rsidRDefault="00491D47" w:rsidP="00491D47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štabna kultura </w:t>
            </w:r>
          </w:p>
          <w:p w14:paraId="12C8A684" w14:textId="77777777" w:rsidR="00491D47" w:rsidRPr="00677BD4" w:rsidRDefault="00491D47" w:rsidP="00491D47">
            <w:pPr>
              <w:pStyle w:val="Odstavekseznam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upravljanje s človeškimi viri, </w:t>
            </w:r>
          </w:p>
          <w:p w14:paraId="625112B6" w14:textId="36A8E262" w:rsidR="0039456A" w:rsidRPr="0039456A" w:rsidRDefault="00491D47" w:rsidP="00491D47">
            <w:pPr>
              <w:pStyle w:val="Odstavekseznam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Calibri" w:cs="Arial"/>
                <w:lang w:eastAsia="sl-SI"/>
              </w:rPr>
            </w:pPr>
            <w:r w:rsidRPr="00677BD4">
              <w:rPr>
                <w:rFonts w:ascii="Arial" w:hAnsi="Arial" w:cs="Arial"/>
              </w:rPr>
              <w:t>vojaški profesionalni kodeks in etika bojevnika.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39456A" w:rsidRPr="0049183D" w:rsidRDefault="0039456A" w:rsidP="0039456A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46A" w14:textId="57BC6A10" w:rsidR="001C52B6" w:rsidRPr="001C52B6" w:rsidRDefault="001C52B6" w:rsidP="001C52B6">
            <w:pPr>
              <w:tabs>
                <w:tab w:val="left" w:pos="1030"/>
              </w:tabs>
              <w:spacing w:after="0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1. T</w:t>
            </w:r>
            <w:r w:rsidRPr="001C52B6">
              <w:rPr>
                <w:rFonts w:eastAsia="Calibri" w:cs="Arial"/>
                <w:lang w:eastAsia="sl-SI"/>
              </w:rPr>
              <w:t>he concept of military leadership, command and control,</w:t>
            </w:r>
          </w:p>
          <w:p w14:paraId="48A5B9FC" w14:textId="69688AFF" w:rsidR="001C52B6" w:rsidRPr="001C52B6" w:rsidRDefault="001C52B6" w:rsidP="001C52B6">
            <w:pPr>
              <w:tabs>
                <w:tab w:val="left" w:pos="1030"/>
              </w:tabs>
              <w:spacing w:after="0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2. M</w:t>
            </w:r>
            <w:r w:rsidRPr="001C52B6">
              <w:rPr>
                <w:rFonts w:eastAsia="Calibri" w:cs="Arial"/>
                <w:lang w:eastAsia="sl-SI"/>
              </w:rPr>
              <w:t>ethods of military skill research and operational research</w:t>
            </w:r>
          </w:p>
          <w:p w14:paraId="18DCCA39" w14:textId="28EFBD92" w:rsidR="001C52B6" w:rsidRPr="001C52B6" w:rsidRDefault="001C52B6" w:rsidP="001C52B6">
            <w:pPr>
              <w:tabs>
                <w:tab w:val="left" w:pos="1030"/>
              </w:tabs>
              <w:spacing w:after="0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3. T</w:t>
            </w:r>
            <w:r w:rsidRPr="001C52B6">
              <w:rPr>
                <w:rFonts w:eastAsia="Calibri" w:cs="Arial"/>
                <w:lang w:eastAsia="sl-SI"/>
              </w:rPr>
              <w:t>he process of planning military activities</w:t>
            </w:r>
          </w:p>
          <w:p w14:paraId="69469FBB" w14:textId="6E3497E2" w:rsidR="001C52B6" w:rsidRPr="001C52B6" w:rsidRDefault="001C52B6" w:rsidP="001C52B6">
            <w:pPr>
              <w:tabs>
                <w:tab w:val="left" w:pos="1030"/>
              </w:tabs>
              <w:spacing w:after="0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4. S</w:t>
            </w:r>
            <w:r w:rsidRPr="001C52B6">
              <w:rPr>
                <w:rFonts w:eastAsia="Calibri" w:cs="Arial"/>
                <w:lang w:eastAsia="sl-SI"/>
              </w:rPr>
              <w:t>taff culture</w:t>
            </w:r>
          </w:p>
          <w:p w14:paraId="556ABD85" w14:textId="043B47E0" w:rsidR="001C52B6" w:rsidRPr="001C52B6" w:rsidRDefault="001C52B6" w:rsidP="001C52B6">
            <w:pPr>
              <w:tabs>
                <w:tab w:val="left" w:pos="1030"/>
              </w:tabs>
              <w:spacing w:after="0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5. H</w:t>
            </w:r>
            <w:r w:rsidRPr="001C52B6">
              <w:rPr>
                <w:rFonts w:eastAsia="Calibri" w:cs="Arial"/>
                <w:lang w:eastAsia="sl-SI"/>
              </w:rPr>
              <w:t>uman resource management,</w:t>
            </w:r>
          </w:p>
          <w:p w14:paraId="68E25B91" w14:textId="78D3A731" w:rsidR="0039456A" w:rsidRPr="0049183D" w:rsidRDefault="001C52B6" w:rsidP="001C52B6">
            <w:pPr>
              <w:tabs>
                <w:tab w:val="left" w:pos="1030"/>
              </w:tabs>
              <w:spacing w:after="0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6. M</w:t>
            </w:r>
            <w:r w:rsidRPr="001C52B6">
              <w:rPr>
                <w:rFonts w:eastAsia="Calibri" w:cs="Arial"/>
                <w:lang w:eastAsia="sl-SI"/>
              </w:rPr>
              <w:t>ilitary professional code and ethics of the warrior.</w:t>
            </w:r>
          </w:p>
        </w:tc>
      </w:tr>
    </w:tbl>
    <w:p w14:paraId="753E702F" w14:textId="77777777" w:rsidR="0061471B" w:rsidRDefault="0061471B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5A11E4" w:rsidRPr="0049183D" w14:paraId="50F6CFCC" w14:textId="77777777" w:rsidTr="0061471B">
        <w:tc>
          <w:tcPr>
            <w:tcW w:w="9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166E7B56" w14:textId="77777777" w:rsidTr="0061471B">
        <w:trPr>
          <w:trHeight w:val="1198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D4E" w14:textId="4D2D5E42" w:rsidR="00754142" w:rsidRPr="005C536E" w:rsidRDefault="00754142" w:rsidP="007715E5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C536E">
              <w:rPr>
                <w:rFonts w:asciiTheme="minorHAnsi" w:hAnsiTheme="minorHAnsi" w:cstheme="minorHAnsi"/>
                <w:shd w:val="clear" w:color="auto" w:fill="FFFFFF"/>
              </w:rPr>
              <w:t>Kramar, M., &amp; Cugmas, A. (2019). </w:t>
            </w:r>
            <w:r w:rsidRPr="005C536E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Vojaška didaktika</w:t>
            </w:r>
            <w:r w:rsidRPr="005C536E">
              <w:rPr>
                <w:rFonts w:asciiTheme="minorHAnsi" w:hAnsiTheme="minorHAnsi" w:cstheme="minorHAnsi"/>
                <w:shd w:val="clear" w:color="auto" w:fill="FFFFFF"/>
              </w:rPr>
              <w:t> (2., prenovljena izd.). Center vojaških šol. http://dk.mors.si/IzpisGradiva.php?id=1106</w:t>
            </w:r>
            <w:r w:rsidRPr="005C536E" w:rsidDel="00754142">
              <w:rPr>
                <w:rFonts w:asciiTheme="minorHAnsi" w:hAnsiTheme="minorHAnsi" w:cstheme="minorHAnsi"/>
              </w:rPr>
              <w:t xml:space="preserve"> </w:t>
            </w:r>
          </w:p>
          <w:p w14:paraId="207D39AB" w14:textId="0DA89981" w:rsidR="00143763" w:rsidRPr="005C536E" w:rsidRDefault="00143763" w:rsidP="007715E5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C536E">
              <w:rPr>
                <w:rFonts w:asciiTheme="minorHAnsi" w:hAnsiTheme="minorHAnsi" w:cstheme="minorHAnsi"/>
                <w:shd w:val="clear" w:color="auto" w:fill="FFFFFF"/>
              </w:rPr>
              <w:t>Mahmutović, J. (2011). </w:t>
            </w:r>
            <w:r w:rsidRPr="005C536E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Vojaško voditeljstvo in menedžment: gradivo za 2. letnik</w:t>
            </w:r>
            <w:r w:rsidRPr="005C536E">
              <w:rPr>
                <w:rFonts w:asciiTheme="minorHAnsi" w:hAnsiTheme="minorHAnsi" w:cstheme="minorHAnsi"/>
                <w:shd w:val="clear" w:color="auto" w:fill="FFFFFF"/>
              </w:rPr>
              <w:t>. Zavod IRC. https://www.skupnost-vss.si/impletum/sl/gradiva/</w:t>
            </w:r>
            <w:r w:rsidRPr="005C536E" w:rsidDel="00143763">
              <w:rPr>
                <w:rFonts w:asciiTheme="minorHAnsi" w:hAnsiTheme="minorHAnsi" w:cstheme="minorHAnsi"/>
              </w:rPr>
              <w:t xml:space="preserve"> </w:t>
            </w:r>
          </w:p>
          <w:p w14:paraId="184E7F18" w14:textId="1815B458" w:rsidR="00D13650" w:rsidRPr="005C536E" w:rsidRDefault="00FA1FD2" w:rsidP="007715E5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C536E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Pravila za štabno delo</w:t>
            </w:r>
            <w:r w:rsidRPr="005C536E">
              <w:rPr>
                <w:rFonts w:asciiTheme="minorHAnsi" w:hAnsiTheme="minorHAnsi" w:cstheme="minorHAnsi"/>
                <w:shd w:val="clear" w:color="auto" w:fill="FFFFFF"/>
              </w:rPr>
              <w:t>. (2019). Center vojaških šol. http://dk.mors.si/IzpisGradiva.php?id=919</w:t>
            </w:r>
          </w:p>
        </w:tc>
      </w:tr>
      <w:tr w:rsidR="005A11E4" w:rsidRPr="0049183D" w14:paraId="17101D27" w14:textId="77777777" w:rsidTr="0061471B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572FDB32" w14:textId="77777777" w:rsidTr="0061471B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3EA" w14:textId="7AF06C43" w:rsidR="005A11E4" w:rsidRPr="00046E6F" w:rsidRDefault="007715E5" w:rsidP="00046E6F">
            <w:pPr>
              <w:jc w:val="both"/>
            </w:pPr>
            <w:r w:rsidRPr="00677BD4">
              <w:rPr>
                <w:rFonts w:ascii="Arial" w:hAnsi="Arial" w:cs="Arial"/>
              </w:rPr>
              <w:t xml:space="preserve">Pri predmetu se študenti dobijo </w:t>
            </w:r>
            <w:r w:rsidRPr="00677BD4">
              <w:rPr>
                <w:rFonts w:ascii="Arial" w:hAnsi="Arial" w:cs="Arial"/>
                <w:lang w:eastAsia="sl-SI"/>
              </w:rPr>
              <w:t>znanja iz področja metod raziskovanja vojaške veščine ter reševanje reševanja nalog voditeljstva in poveljevanja na direktni ravni. Štud</w:t>
            </w:r>
            <w:r>
              <w:rPr>
                <w:rFonts w:ascii="Arial" w:hAnsi="Arial" w:cs="Arial"/>
                <w:lang w:eastAsia="sl-SI"/>
              </w:rPr>
              <w:t xml:space="preserve">ent pridobi osnovna znanja za </w:t>
            </w:r>
            <w:r w:rsidRPr="00677BD4">
              <w:rPr>
                <w:rFonts w:ascii="Arial" w:hAnsi="Arial" w:cs="Arial"/>
                <w:lang w:eastAsia="sl-SI"/>
              </w:rPr>
              <w:t>upravljanje s človeškimi viri.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49183D" w:rsidRDefault="005A11E4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4B9" w14:textId="5D77C305" w:rsidR="005A11E4" w:rsidRPr="0049183D" w:rsidRDefault="001C52B6" w:rsidP="00B71733">
            <w:pPr>
              <w:spacing w:after="0"/>
              <w:rPr>
                <w:rFonts w:eastAsia="Calibri" w:cs="Arial"/>
                <w:lang w:eastAsia="sl-SI"/>
              </w:rPr>
            </w:pPr>
            <w:r w:rsidRPr="001C52B6">
              <w:rPr>
                <w:rFonts w:eastAsia="Calibri" w:cs="Arial"/>
                <w:lang w:eastAsia="sl-SI"/>
              </w:rPr>
              <w:t>In the course, students gain knowledge in the field of methods of researching mil</w:t>
            </w:r>
            <w:r>
              <w:rPr>
                <w:rFonts w:eastAsia="Calibri" w:cs="Arial"/>
                <w:lang w:eastAsia="sl-SI"/>
              </w:rPr>
              <w:t>itary skills and solving</w:t>
            </w:r>
            <w:r w:rsidRPr="001C52B6">
              <w:rPr>
                <w:rFonts w:eastAsia="Calibri" w:cs="Arial"/>
                <w:lang w:eastAsia="sl-SI"/>
              </w:rPr>
              <w:t xml:space="preserve"> tasks of leadership and command at the direct level. The stud</w:t>
            </w:r>
            <w:r>
              <w:rPr>
                <w:rFonts w:eastAsia="Calibri" w:cs="Arial"/>
                <w:lang w:eastAsia="sl-SI"/>
              </w:rPr>
              <w:t>ent acquires basic knowledge of</w:t>
            </w:r>
            <w:r w:rsidRPr="001C52B6">
              <w:rPr>
                <w:rFonts w:eastAsia="Calibri" w:cs="Arial"/>
                <w:lang w:eastAsia="sl-SI"/>
              </w:rPr>
              <w:t xml:space="preserve"> human resource management.</w:t>
            </w:r>
          </w:p>
          <w:p w14:paraId="38F6573B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  <w:p w14:paraId="5D7D4D18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  <w:p w14:paraId="2B0389AE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  <w:p w14:paraId="41C5AAA2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</w:tr>
      <w:tr w:rsidR="005A11E4" w:rsidRPr="0049183D" w14:paraId="2732D8B1" w14:textId="77777777" w:rsidTr="0061471B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A11E4" w:rsidRPr="0049183D" w14:paraId="355E000C" w14:textId="77777777" w:rsidTr="0061471B">
        <w:trPr>
          <w:trHeight w:val="41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FC9D4" w14:textId="3BA4011C" w:rsidR="005A11E4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Znanje in razumevanje:</w:t>
            </w:r>
          </w:p>
          <w:p w14:paraId="0B96330C" w14:textId="77777777" w:rsidR="007715E5" w:rsidRPr="00677BD4" w:rsidRDefault="007715E5" w:rsidP="007715E5">
            <w:pPr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Po uspešnem dokončanju predmeta bodo študenti znali:</w:t>
            </w:r>
          </w:p>
          <w:p w14:paraId="1C31044A" w14:textId="77777777" w:rsidR="007715E5" w:rsidRPr="00677BD4" w:rsidRDefault="007715E5" w:rsidP="007715E5">
            <w:pPr>
              <w:pStyle w:val="Odstavekseznama"/>
              <w:numPr>
                <w:ilvl w:val="0"/>
                <w:numId w:val="21"/>
              </w:numPr>
              <w:snapToGrid w:val="0"/>
              <w:spacing w:line="260" w:lineRule="atLeast"/>
              <w:ind w:left="360"/>
              <w:rPr>
                <w:rFonts w:ascii="Arial" w:hAnsi="Arial" w:cs="Arial"/>
                <w:color w:val="000000"/>
              </w:rPr>
            </w:pPr>
            <w:r w:rsidRPr="00677BD4">
              <w:rPr>
                <w:rFonts w:ascii="Arial" w:hAnsi="Arial" w:cs="Arial"/>
              </w:rPr>
              <w:t xml:space="preserve">razložiti in pojasniti osnovne ideje in pojme koncepta poveljevanja in kontrole </w:t>
            </w:r>
          </w:p>
          <w:p w14:paraId="1F7E55D0" w14:textId="77777777" w:rsidR="007715E5" w:rsidRPr="00677BD4" w:rsidRDefault="007715E5" w:rsidP="007715E5">
            <w:pPr>
              <w:pStyle w:val="Odstavekseznama"/>
              <w:numPr>
                <w:ilvl w:val="0"/>
                <w:numId w:val="21"/>
              </w:numPr>
              <w:snapToGrid w:val="0"/>
              <w:spacing w:line="260" w:lineRule="atLeast"/>
              <w:ind w:left="360"/>
              <w:rPr>
                <w:rFonts w:ascii="Arial" w:hAnsi="Arial" w:cs="Arial"/>
                <w:color w:val="000000"/>
              </w:rPr>
            </w:pPr>
            <w:r w:rsidRPr="00677BD4">
              <w:rPr>
                <w:rFonts w:ascii="Arial" w:hAnsi="Arial" w:cs="Arial"/>
                <w:color w:val="000000"/>
              </w:rPr>
              <w:t>opredeliti teorijo vojaškega voditeljstva,</w:t>
            </w:r>
          </w:p>
          <w:p w14:paraId="4CAED89D" w14:textId="77777777" w:rsidR="007715E5" w:rsidRPr="00677BD4" w:rsidRDefault="007715E5" w:rsidP="007715E5">
            <w:pPr>
              <w:numPr>
                <w:ilvl w:val="0"/>
                <w:numId w:val="21"/>
              </w:numPr>
              <w:snapToGrid w:val="0"/>
              <w:spacing w:after="160" w:line="260" w:lineRule="atLeast"/>
              <w:ind w:left="360"/>
              <w:rPr>
                <w:rFonts w:ascii="Arial" w:hAnsi="Arial" w:cs="Arial"/>
                <w:color w:val="000000"/>
              </w:rPr>
            </w:pPr>
            <w:r w:rsidRPr="00677BD4">
              <w:rPr>
                <w:rFonts w:ascii="Arial" w:hAnsi="Arial" w:cs="Arial"/>
                <w:color w:val="000000"/>
              </w:rPr>
              <w:t xml:space="preserve">opredeliti posebnost etičnih prvin v vojski, </w:t>
            </w:r>
          </w:p>
          <w:p w14:paraId="6AB8E6E2" w14:textId="77777777" w:rsidR="007715E5" w:rsidRPr="00677BD4" w:rsidRDefault="007715E5" w:rsidP="007715E5">
            <w:pPr>
              <w:numPr>
                <w:ilvl w:val="0"/>
                <w:numId w:val="21"/>
              </w:numPr>
              <w:snapToGrid w:val="0"/>
              <w:spacing w:after="160" w:line="260" w:lineRule="atLeast"/>
              <w:ind w:left="360"/>
              <w:rPr>
                <w:rFonts w:ascii="Arial" w:hAnsi="Arial" w:cs="Arial"/>
                <w:color w:val="000000"/>
              </w:rPr>
            </w:pPr>
            <w:r w:rsidRPr="00677BD4">
              <w:rPr>
                <w:rFonts w:ascii="Arial" w:hAnsi="Arial" w:cs="Arial"/>
                <w:color w:val="000000"/>
              </w:rPr>
              <w:t>opredeliti psihološke teorije o delovanju človeka.</w:t>
            </w:r>
          </w:p>
          <w:p w14:paraId="527E62DD" w14:textId="77777777" w:rsidR="007715E5" w:rsidRPr="00677BD4" w:rsidRDefault="007715E5" w:rsidP="007715E5">
            <w:pPr>
              <w:numPr>
                <w:ilvl w:val="0"/>
                <w:numId w:val="21"/>
              </w:numPr>
              <w:snapToGrid w:val="0"/>
              <w:spacing w:after="160" w:line="260" w:lineRule="atLeast"/>
              <w:ind w:left="360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izdelati in uporabiti algoritme raziskovanja vojaške veščine  </w:t>
            </w:r>
          </w:p>
          <w:p w14:paraId="46DEA773" w14:textId="38228CDD" w:rsidR="005A11E4" w:rsidRPr="007D4C26" w:rsidRDefault="007715E5" w:rsidP="007D4C26">
            <w:pPr>
              <w:numPr>
                <w:ilvl w:val="0"/>
                <w:numId w:val="21"/>
              </w:numPr>
              <w:snapToGrid w:val="0"/>
              <w:spacing w:after="160" w:line="260" w:lineRule="atLeast"/>
              <w:ind w:left="360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izdelati načrt delovanja enote z uporabo procesov in načel procesa vodenja enot,</w:t>
            </w:r>
            <w:r w:rsidR="007D4C26">
              <w:rPr>
                <w:rFonts w:ascii="Arial" w:hAnsi="Arial" w:cs="Arial"/>
              </w:rPr>
              <w:t xml:space="preserve"> </w:t>
            </w:r>
            <w:r w:rsidRPr="007D4C26">
              <w:rPr>
                <w:rFonts w:ascii="Arial" w:hAnsi="Arial" w:cs="Arial"/>
              </w:rPr>
              <w:t>pripra</w:t>
            </w:r>
            <w:r w:rsidR="007D4C26">
              <w:rPr>
                <w:rFonts w:ascii="Arial" w:hAnsi="Arial" w:cs="Arial"/>
              </w:rPr>
              <w:t>vi karto in prosojnice za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D9334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Arial"/>
                <w:lang w:eastAsia="sl-SI"/>
              </w:rPr>
              <w:t xml:space="preserve">Knowledge and </w:t>
            </w:r>
            <w:r>
              <w:rPr>
                <w:rFonts w:eastAsia="Calibri" w:cs="Arial"/>
                <w:lang w:eastAsia="sl-SI"/>
              </w:rPr>
              <w:t>u</w:t>
            </w:r>
            <w:r w:rsidRPr="0049183D">
              <w:rPr>
                <w:rFonts w:eastAsia="Calibri" w:cs="Arial"/>
                <w:lang w:eastAsia="sl-SI"/>
              </w:rPr>
              <w:t>nderstanding:</w:t>
            </w:r>
          </w:p>
          <w:p w14:paraId="7EE9AD9F" w14:textId="00D7B7C1" w:rsidR="001C52B6" w:rsidRPr="001C52B6" w:rsidRDefault="001C52B6" w:rsidP="001C52B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1C52B6">
              <w:rPr>
                <w:rFonts w:eastAsia="Calibri"/>
                <w:lang w:eastAsia="sl-SI"/>
              </w:rPr>
              <w:t>Upon successful completion of</w:t>
            </w:r>
            <w:r>
              <w:rPr>
                <w:rFonts w:eastAsia="Calibri"/>
                <w:lang w:eastAsia="sl-SI"/>
              </w:rPr>
              <w:t xml:space="preserve"> the course, students will:</w:t>
            </w:r>
          </w:p>
          <w:p w14:paraId="65B6AD69" w14:textId="3AC218D1" w:rsidR="001C52B6" w:rsidRPr="001C52B6" w:rsidRDefault="001C52B6" w:rsidP="001C52B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 xml:space="preserve">• </w:t>
            </w:r>
            <w:r w:rsidRPr="001C52B6">
              <w:rPr>
                <w:rFonts w:eastAsia="Calibri"/>
                <w:lang w:eastAsia="sl-SI"/>
              </w:rPr>
              <w:t>explain the basic ideas and concepts o</w:t>
            </w:r>
            <w:r>
              <w:rPr>
                <w:rFonts w:eastAsia="Calibri"/>
                <w:lang w:eastAsia="sl-SI"/>
              </w:rPr>
              <w:t xml:space="preserve">f the </w:t>
            </w:r>
            <w:r w:rsidRPr="001C52B6">
              <w:rPr>
                <w:rFonts w:eastAsia="Calibri"/>
                <w:lang w:eastAsia="sl-SI"/>
              </w:rPr>
              <w:t>command and control</w:t>
            </w:r>
          </w:p>
          <w:p w14:paraId="2C2790B4" w14:textId="77777777" w:rsidR="001C52B6" w:rsidRPr="001C52B6" w:rsidRDefault="001C52B6" w:rsidP="001C52B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1C52B6">
              <w:rPr>
                <w:rFonts w:eastAsia="Calibri"/>
                <w:lang w:eastAsia="sl-SI"/>
              </w:rPr>
              <w:t>• define the theory of military leadership,</w:t>
            </w:r>
          </w:p>
          <w:p w14:paraId="04E71107" w14:textId="77777777" w:rsidR="001C52B6" w:rsidRPr="001C52B6" w:rsidRDefault="001C52B6" w:rsidP="001C52B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1C52B6">
              <w:rPr>
                <w:rFonts w:eastAsia="Calibri"/>
                <w:lang w:eastAsia="sl-SI"/>
              </w:rPr>
              <w:t>• define the specificity of ethical elements in the army,</w:t>
            </w:r>
          </w:p>
          <w:p w14:paraId="2F84DF88" w14:textId="77777777" w:rsidR="001C52B6" w:rsidRPr="001C52B6" w:rsidRDefault="001C52B6" w:rsidP="001C52B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1C52B6">
              <w:rPr>
                <w:rFonts w:eastAsia="Calibri"/>
                <w:lang w:eastAsia="sl-SI"/>
              </w:rPr>
              <w:t>• define psychological theories about human functioning.</w:t>
            </w:r>
          </w:p>
          <w:p w14:paraId="178041C5" w14:textId="77777777" w:rsidR="001C52B6" w:rsidRPr="001C52B6" w:rsidRDefault="001C52B6" w:rsidP="001C52B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1C52B6">
              <w:rPr>
                <w:rFonts w:eastAsia="Calibri"/>
                <w:lang w:eastAsia="sl-SI"/>
              </w:rPr>
              <w:t>• develop and use algorithms for researching military skills</w:t>
            </w:r>
          </w:p>
          <w:p w14:paraId="2E67E27B" w14:textId="77777777" w:rsidR="001C52B6" w:rsidRPr="001C52B6" w:rsidRDefault="001C52B6" w:rsidP="001C52B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1C52B6">
              <w:rPr>
                <w:rFonts w:eastAsia="Calibri"/>
                <w:lang w:eastAsia="sl-SI"/>
              </w:rPr>
              <w:t>• create a unit operation plan using the processes and principles of the unit management process,</w:t>
            </w:r>
          </w:p>
          <w:p w14:paraId="7CD8C17D" w14:textId="68EE3AA4" w:rsidR="005A11E4" w:rsidRDefault="001C52B6" w:rsidP="001C52B6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  <w:r w:rsidRPr="001C52B6">
              <w:rPr>
                <w:rFonts w:eastAsia="Calibri"/>
                <w:lang w:eastAsia="sl-SI"/>
              </w:rPr>
              <w:t>pr</w:t>
            </w:r>
            <w:r w:rsidR="007D4C26">
              <w:rPr>
                <w:rFonts w:eastAsia="Calibri"/>
                <w:lang w:eastAsia="sl-SI"/>
              </w:rPr>
              <w:t>epare a map and slides for work.</w:t>
            </w:r>
          </w:p>
          <w:p w14:paraId="06D50644" w14:textId="608581FD" w:rsidR="0010411B" w:rsidRPr="0049183D" w:rsidRDefault="0010411B" w:rsidP="00B7173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</w:tr>
      <w:tr w:rsidR="005A11E4" w:rsidRPr="0049183D" w14:paraId="7BF0CAA8" w14:textId="77777777" w:rsidTr="0061471B">
        <w:trPr>
          <w:trHeight w:val="1179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9A4" w14:textId="434FBBB2" w:rsidR="005A11E4" w:rsidRPr="0049183D" w:rsidRDefault="005A11E4" w:rsidP="00B7173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7513" w14:textId="77777777" w:rsidR="005A11E4" w:rsidRPr="0049183D" w:rsidRDefault="005A11E4" w:rsidP="00B7173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  <w:p w14:paraId="58EC4A72" w14:textId="77777777" w:rsidR="005A11E4" w:rsidRPr="0049183D" w:rsidRDefault="005A11E4" w:rsidP="00B71733">
            <w:pPr>
              <w:tabs>
                <w:tab w:val="left" w:pos="227"/>
              </w:tabs>
              <w:spacing w:after="0"/>
              <w:rPr>
                <w:rFonts w:eastAsia="Calibri"/>
                <w:lang w:eastAsia="sl-SI"/>
              </w:rPr>
            </w:pPr>
          </w:p>
        </w:tc>
      </w:tr>
      <w:tr w:rsidR="005A11E4" w:rsidRPr="0049183D" w14:paraId="28C61BBA" w14:textId="77777777" w:rsidTr="0061471B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5A11E4" w:rsidRPr="0049183D" w14:paraId="4C66F302" w14:textId="77777777" w:rsidTr="0061471B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706" w14:textId="77777777" w:rsidR="007715E5" w:rsidRPr="00677BD4" w:rsidRDefault="007715E5" w:rsidP="007715E5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Predavanja</w:t>
            </w:r>
          </w:p>
          <w:p w14:paraId="2C8ED297" w14:textId="77777777" w:rsidR="007715E5" w:rsidRPr="00677BD4" w:rsidRDefault="007715E5" w:rsidP="007715E5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Seminar</w:t>
            </w:r>
          </w:p>
          <w:p w14:paraId="2A339AFB" w14:textId="3D7955EC" w:rsidR="005A11E4" w:rsidRPr="007D4C26" w:rsidRDefault="007715E5" w:rsidP="007D4C26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Vaje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5A11E4" w:rsidRPr="0049183D" w:rsidRDefault="005A11E4" w:rsidP="00B7173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2126" w14:textId="77777777" w:rsidR="00800D51" w:rsidRPr="00677BD4" w:rsidRDefault="00800D51" w:rsidP="00800D51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Lectures</w:t>
            </w:r>
          </w:p>
          <w:p w14:paraId="02555C84" w14:textId="77777777" w:rsidR="00800D51" w:rsidRPr="00677BD4" w:rsidRDefault="00800D51" w:rsidP="00800D51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 xml:space="preserve">Seminars </w:t>
            </w:r>
          </w:p>
          <w:p w14:paraId="16E78F08" w14:textId="6D23B530" w:rsidR="005A11E4" w:rsidRPr="007D4C26" w:rsidRDefault="00800D51" w:rsidP="00800D51">
            <w:pPr>
              <w:pStyle w:val="Odstavekseznama"/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</w:rPr>
            </w:pPr>
            <w:r w:rsidRPr="00677BD4">
              <w:rPr>
                <w:rFonts w:ascii="Arial" w:hAnsi="Arial" w:cs="Arial"/>
              </w:rPr>
              <w:t>Tutorials</w:t>
            </w:r>
          </w:p>
        </w:tc>
      </w:tr>
      <w:tr w:rsidR="005A11E4" w:rsidRPr="0049183D" w14:paraId="0566443A" w14:textId="77777777" w:rsidTr="0061471B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52B92BAD" w14:textId="77777777" w:rsidTr="0061471B">
        <w:trPr>
          <w:trHeight w:val="110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9C1" w14:textId="06422A36" w:rsidR="00394386" w:rsidRPr="00394386" w:rsidRDefault="005A11E4" w:rsidP="00394386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t>Način (pisni izpit, ustno izpraševanje, naloge, projekt)</w:t>
            </w:r>
          </w:p>
          <w:p w14:paraId="7C5D5B08" w14:textId="2172F987" w:rsidR="00800D51" w:rsidRDefault="00800D51" w:rsidP="00800D51">
            <w:pPr>
              <w:tabs>
                <w:tab w:val="left" w:pos="22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</w:t>
            </w:r>
          </w:p>
          <w:p w14:paraId="60CAD520" w14:textId="77777777" w:rsidR="005A11E4" w:rsidRDefault="00800D51" w:rsidP="00800D51">
            <w:pPr>
              <w:tabs>
                <w:tab w:val="left" w:pos="22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Pisni izpit</w:t>
            </w:r>
          </w:p>
          <w:p w14:paraId="73D37E4C" w14:textId="4F7C1482" w:rsidR="00632568" w:rsidRPr="00800D51" w:rsidRDefault="00632568" w:rsidP="00800D51">
            <w:pPr>
              <w:tabs>
                <w:tab w:val="left" w:pos="22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Vse aktivnosti v spletni učilnici morajo biti opravljene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337950D9" w14:textId="471BAA87" w:rsidR="005A11E4" w:rsidRDefault="00394386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3</w:t>
            </w:r>
            <w:r w:rsidR="00800D51">
              <w:rPr>
                <w:rFonts w:eastAsia="Calibri" w:cs="Calibri"/>
                <w:b/>
                <w:lang w:eastAsia="sl-SI"/>
              </w:rPr>
              <w:t>0%</w:t>
            </w:r>
          </w:p>
          <w:p w14:paraId="6252E3BC" w14:textId="66B585C3" w:rsidR="00800D51" w:rsidRPr="0049183D" w:rsidRDefault="00394386" w:rsidP="00394386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7</w:t>
            </w:r>
            <w:r w:rsidR="00800D51">
              <w:rPr>
                <w:rFonts w:eastAsia="Calibri" w:cs="Calibri"/>
                <w:b/>
                <w:lang w:eastAsia="sl-SI"/>
              </w:rPr>
              <w:t>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B8A2" w14:textId="10B2C06E" w:rsidR="00800D51" w:rsidRPr="0039438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Method</w:t>
            </w:r>
            <w:r w:rsidRPr="0049183D">
              <w:rPr>
                <w:rFonts w:eastAsia="Calibri" w:cs="Calibri"/>
                <w:lang w:eastAsia="sl-SI"/>
              </w:rPr>
              <w:t xml:space="preserve"> (</w:t>
            </w:r>
            <w:r>
              <w:rPr>
                <w:rFonts w:eastAsia="Calibri" w:cs="Calibri"/>
                <w:lang w:eastAsia="sl-SI"/>
              </w:rPr>
              <w:t xml:space="preserve">written or oral </w:t>
            </w:r>
            <w:r w:rsidRPr="0049183D">
              <w:rPr>
                <w:rFonts w:eastAsia="Calibri" w:cs="Calibri"/>
                <w:lang w:eastAsia="sl-SI"/>
              </w:rPr>
              <w:t>exam, coursework, project):</w:t>
            </w:r>
          </w:p>
          <w:p w14:paraId="5381B561" w14:textId="75B6B305" w:rsidR="00800D51" w:rsidRDefault="007715E5" w:rsidP="00B7173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homework</w:t>
            </w:r>
          </w:p>
          <w:p w14:paraId="59A6EBB3" w14:textId="445575B4" w:rsidR="00800D51" w:rsidRDefault="00800D5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677BD4">
              <w:rPr>
                <w:rFonts w:ascii="Arial" w:hAnsi="Arial" w:cs="Arial"/>
              </w:rPr>
              <w:t>written exam</w:t>
            </w:r>
          </w:p>
          <w:p w14:paraId="20F78515" w14:textId="429F98AB" w:rsidR="0010411B" w:rsidRPr="00632568" w:rsidRDefault="00632568" w:rsidP="00B71733">
            <w:pPr>
              <w:spacing w:after="0"/>
              <w:rPr>
                <w:rFonts w:ascii="Arial" w:eastAsia="Calibri" w:hAnsi="Arial" w:cs="Arial"/>
                <w:lang w:eastAsia="sl-SI"/>
              </w:rPr>
            </w:pPr>
            <w:r w:rsidRPr="00632568">
              <w:rPr>
                <w:rFonts w:ascii="Arial" w:eastAsia="Calibri" w:hAnsi="Arial" w:cs="Arial"/>
                <w:lang w:eastAsia="sl-SI"/>
              </w:rPr>
              <w:t>All activities in the online classroom must be completed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B71733">
        <w:tc>
          <w:tcPr>
            <w:tcW w:w="9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5A11E4" w:rsidRPr="0049183D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E2E" w14:textId="77777777" w:rsidR="001C52B6" w:rsidRP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  <w:r w:rsidRPr="001C52B6">
              <w:rPr>
                <w:rFonts w:eastAsia="Calibri" w:cs="Calibri"/>
                <w:lang w:eastAsia="sl-SI"/>
              </w:rPr>
              <w:t>GABRŠEK, Renata, FERJAN, Marko, PODBREGAR, Iztok, ARSENIJEVIĆ, Olja, ŠPRAJC, Polona. CEO background and company performance : evidence from the cohesion regions of Eastern and Western Slovenia. Lex localis : revija za lokalno samoupravo, ISSN 1581-5374. [Tiskana izd.], Jul. 2018, vol. 16, no. 3, str. 591-612, tabele, doi: 10.4335/16.3.591-612(2018). [COBISS.SI-ID 8040211], [JCR, SNIP, WoS do 10. 8. 2018: št. citatov (TC): 0, čistih citatov (CI): 0, čistih citatov na avtorja (CIAu): 0, Scopus do 22. 9. 2020: št. citatov (TC): 0, čistih citatov (CI): 0, čistih citatov na avtorja (CIAu): 0]</w:t>
            </w:r>
          </w:p>
          <w:p w14:paraId="577420E8" w14:textId="16169578" w:rsidR="005A11E4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  <w:r w:rsidRPr="001C52B6">
              <w:rPr>
                <w:rFonts w:eastAsia="Calibri" w:cs="Calibri"/>
                <w:lang w:eastAsia="sl-SI"/>
              </w:rPr>
              <w:t>kategorija: 1A3 (Z, A', A1/2); uvrstitev: Scopus (d), SSCI, MBP; tip dela je verificiral OSICD</w:t>
            </w:r>
          </w:p>
          <w:p w14:paraId="7B70CB7F" w14:textId="2CD7E7F2" w:rsid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</w:p>
          <w:p w14:paraId="0183B537" w14:textId="77777777" w:rsidR="001C52B6" w:rsidRP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  <w:r w:rsidRPr="001C52B6">
              <w:rPr>
                <w:rFonts w:eastAsia="Calibri" w:cs="Calibri"/>
                <w:lang w:eastAsia="sl-SI"/>
              </w:rPr>
              <w:t>ARSENIJEVIĆ, Olja, TRIVAN, Dragan, PODBREGAR, Iztok, ŠPRAJC, Polona. Strategic aspect of knowledge management. Organizacija : revija za management, informatiko in kadre, ISSN 1318-5454. [Tiskana izd.], May 2017, vol. 50, no. 2, str. 163-177, tabele. http://organizacija.fov.uni-mb.si/index.php/organizacija/article/view/760/1159, doi: 10.1515/orga-2017-0011. [COBISS.SI-ID 7929619], [SNIP, WoS do 28. 8. 2021: št. citatov (TC): 4, čistih citatov (CI): 4, čistih citatov na avtorja (CIAu): 1.00, Scopus do 6. 5. 2021: št. citatov (TC): 4, čistih citatov (CI): 4, čistih citatov na avtorja (CIAu): 1.00]</w:t>
            </w:r>
          </w:p>
          <w:p w14:paraId="71E9EE87" w14:textId="063A0816" w:rsid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  <w:r w:rsidRPr="001C52B6">
              <w:rPr>
                <w:rFonts w:eastAsia="Calibri" w:cs="Calibri"/>
                <w:lang w:eastAsia="sl-SI"/>
              </w:rPr>
              <w:t>kategorija: 1A4 (Z); uvrstitev: Scopus (d), MBP; tip dela je verificiral OSICD</w:t>
            </w:r>
          </w:p>
          <w:p w14:paraId="7B54F6AD" w14:textId="171668AA" w:rsid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</w:p>
          <w:p w14:paraId="549B9B94" w14:textId="77777777" w:rsidR="001C52B6" w:rsidRP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  <w:r w:rsidRPr="001C52B6">
              <w:rPr>
                <w:rFonts w:eastAsia="Calibri" w:cs="Calibri"/>
                <w:lang w:eastAsia="sl-SI"/>
              </w:rPr>
              <w:t>HRIBAR, Gašper, PODBREGAR, Iztok, ROSI, Bojan. A model of citizens' trust in intelligence services. Security journal, ISSN 1743-4645. https://doi.org/10.1057/s41284-020-00275-x, doi: 10.1057/s41284-020-00275-x. [COBISS.SI-ID 65238787], [JCR, SNIP, WoS do 1. 6. 2021: št. citatov (TC): 0, čistih citatov (CI): 0, čistih citatov na avtorja (CIAu): 0, Scopus do 1. 6. 2021: št. citatov (TC): 0, čistih citatov (CI): 0, čistih citatov na avtorja (CIAu): 0]</w:t>
            </w:r>
          </w:p>
          <w:p w14:paraId="51BA05B8" w14:textId="5479144B" w:rsid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  <w:r w:rsidRPr="001C52B6">
              <w:rPr>
                <w:rFonts w:eastAsia="Calibri" w:cs="Calibri"/>
                <w:lang w:eastAsia="sl-SI"/>
              </w:rPr>
              <w:t>kategorija: 1A1 (Z, A'', A', A1/2); uvrstitev: Scopus (d), SSCI; tip dela še ni verificiran</w:t>
            </w:r>
          </w:p>
          <w:p w14:paraId="440C6F17" w14:textId="0503A6E2" w:rsid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</w:p>
          <w:p w14:paraId="6935893D" w14:textId="77777777" w:rsidR="001C52B6" w:rsidRPr="001C52B6" w:rsidRDefault="001C52B6" w:rsidP="001C52B6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  <w:r w:rsidRPr="001C52B6">
              <w:rPr>
                <w:rFonts w:eastAsia="Calibri" w:cs="Calibri"/>
                <w:lang w:eastAsia="sl-SI"/>
              </w:rPr>
              <w:t>PODBREGAR, Iztok, ŠIMIĆ, Goran, RADOVANOVIĆ, Mirjana, FILIPOVIĆ, Sanja, MALETIČ, Damjan, ŠPRAJC, Polona. The international energy security risk index in sustainable energy and economy transition decision making - a reliability analysis. Energies, ISSN 1996-1073, 2020, vol. 13, iss. 14 (3691), str. 1-16, tabele. https://www.mdpi.com/1996-1073/13/14/3691, doi: 10.3390/en13143691. [COBISS.SI-ID 22973955], [JCR, SNIP, WoS do 11. 8. 2021: št. citatov (TC): 3, čistih citatov (CI): 3, čistih citatov na avtorja (CIAu): 0.50, Scopus do 22. 7. 2021: št. citatov (TC): 3, čistih citatov (CI): 3, čistih citatov na avtorja (CIAu): 0.50]</w:t>
            </w:r>
          </w:p>
          <w:p w14:paraId="2E7B0CF2" w14:textId="7101D872" w:rsidR="005A11E4" w:rsidRPr="0049183D" w:rsidRDefault="001C52B6" w:rsidP="00B71733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  <w:r w:rsidRPr="001C52B6">
              <w:rPr>
                <w:rFonts w:eastAsia="Calibri" w:cs="Calibri"/>
                <w:lang w:eastAsia="sl-SI"/>
              </w:rPr>
              <w:t>kategorija: 1A3 (Z); uvrstitev: SCI, Scopus, MBP; tip dela je verificiral OSICD</w:t>
            </w:r>
          </w:p>
          <w:p w14:paraId="41AC7B40" w14:textId="77777777" w:rsidR="005A11E4" w:rsidRPr="0049183D" w:rsidRDefault="005A11E4" w:rsidP="00B71733">
            <w:pPr>
              <w:spacing w:after="0"/>
              <w:contextualSpacing/>
              <w:rPr>
                <w:rFonts w:eastAsia="Calibri" w:cs="Calibri"/>
                <w:lang w:eastAsia="sl-SI"/>
              </w:rPr>
            </w:pPr>
          </w:p>
        </w:tc>
      </w:tr>
    </w:tbl>
    <w:p w14:paraId="01D00855" w14:textId="57E55FA9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3EB6" w14:textId="77777777" w:rsidR="00566416" w:rsidRDefault="00566416" w:rsidP="00703ADE">
      <w:pPr>
        <w:spacing w:after="0"/>
      </w:pPr>
      <w:r>
        <w:separator/>
      </w:r>
    </w:p>
  </w:endnote>
  <w:endnote w:type="continuationSeparator" w:id="0">
    <w:p w14:paraId="599C67EB" w14:textId="77777777" w:rsidR="00566416" w:rsidRDefault="00566416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2FEA9E4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61D97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61D97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2AF8" w14:textId="77777777" w:rsidR="00566416" w:rsidRDefault="00566416" w:rsidP="00703ADE">
      <w:pPr>
        <w:spacing w:after="0"/>
      </w:pPr>
      <w:r>
        <w:separator/>
      </w:r>
    </w:p>
  </w:footnote>
  <w:footnote w:type="continuationSeparator" w:id="0">
    <w:p w14:paraId="09C7AC50" w14:textId="77777777" w:rsidR="00566416" w:rsidRDefault="00566416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2318F"/>
    <w:multiLevelType w:val="singleLevel"/>
    <w:tmpl w:val="F1C2585E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A11843"/>
    <w:multiLevelType w:val="singleLevel"/>
    <w:tmpl w:val="DEE8EFE2"/>
    <w:lvl w:ilvl="0">
      <w:numFmt w:val="bullet"/>
      <w:lvlText w:val="•"/>
      <w:lvlJc w:val="left"/>
      <w:pPr>
        <w:ind w:left="420" w:hanging="360"/>
      </w:pPr>
    </w:lvl>
  </w:abstractNum>
  <w:abstractNum w:abstractNumId="10" w15:restartNumberingAfterBreak="0">
    <w:nsid w:val="39F937DD"/>
    <w:multiLevelType w:val="hybridMultilevel"/>
    <w:tmpl w:val="22ACA8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73599"/>
    <w:multiLevelType w:val="hybridMultilevel"/>
    <w:tmpl w:val="DD605F90"/>
    <w:lvl w:ilvl="0" w:tplc="F1C2585E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72F9C"/>
    <w:multiLevelType w:val="singleLevel"/>
    <w:tmpl w:val="F1C2585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7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E4FFA"/>
    <w:multiLevelType w:val="hybridMultilevel"/>
    <w:tmpl w:val="F0EE59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11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17"/>
  </w:num>
  <w:num w:numId="11">
    <w:abstractNumId w:val="4"/>
  </w:num>
  <w:num w:numId="12">
    <w:abstractNumId w:val="2"/>
  </w:num>
  <w:num w:numId="13">
    <w:abstractNumId w:val="18"/>
  </w:num>
  <w:num w:numId="14">
    <w:abstractNumId w:val="5"/>
  </w:num>
  <w:num w:numId="15">
    <w:abstractNumId w:val="15"/>
  </w:num>
  <w:num w:numId="16">
    <w:abstractNumId w:val="1"/>
    <w:lvlOverride w:ilvl="0">
      <w:startOverride w:val="1"/>
    </w:lvlOverride>
  </w:num>
  <w:num w:numId="17">
    <w:abstractNumId w:val="12"/>
  </w:num>
  <w:num w:numId="18">
    <w:abstractNumId w:val="19"/>
  </w:num>
  <w:num w:numId="19">
    <w:abstractNumId w:val="9"/>
    <w:lvlOverride w:ilvl="0">
      <w:startOverride w:val="1"/>
    </w:lvlOverride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46E6F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C59FE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43763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2B6"/>
    <w:rsid w:val="001C55C4"/>
    <w:rsid w:val="001C65D2"/>
    <w:rsid w:val="001E2942"/>
    <w:rsid w:val="001E4575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6176A"/>
    <w:rsid w:val="00273DDF"/>
    <w:rsid w:val="00276596"/>
    <w:rsid w:val="0027778B"/>
    <w:rsid w:val="002805E7"/>
    <w:rsid w:val="0028075A"/>
    <w:rsid w:val="00292898"/>
    <w:rsid w:val="0029314F"/>
    <w:rsid w:val="002B19A5"/>
    <w:rsid w:val="002B452B"/>
    <w:rsid w:val="002B668D"/>
    <w:rsid w:val="002C44F3"/>
    <w:rsid w:val="002C7D0D"/>
    <w:rsid w:val="002E1DE8"/>
    <w:rsid w:val="002F418C"/>
    <w:rsid w:val="002F465F"/>
    <w:rsid w:val="003037B1"/>
    <w:rsid w:val="003168D8"/>
    <w:rsid w:val="00317389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94386"/>
    <w:rsid w:val="0039456A"/>
    <w:rsid w:val="003B7EBC"/>
    <w:rsid w:val="003C3F1B"/>
    <w:rsid w:val="003C437B"/>
    <w:rsid w:val="003C5A56"/>
    <w:rsid w:val="003C61AC"/>
    <w:rsid w:val="003D6370"/>
    <w:rsid w:val="003F0EA3"/>
    <w:rsid w:val="003F3889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91D47"/>
    <w:rsid w:val="004A073E"/>
    <w:rsid w:val="004A30A0"/>
    <w:rsid w:val="004A33B9"/>
    <w:rsid w:val="004A4DF3"/>
    <w:rsid w:val="004A6765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0E4C"/>
    <w:rsid w:val="004F5050"/>
    <w:rsid w:val="00500DB6"/>
    <w:rsid w:val="005029C6"/>
    <w:rsid w:val="00514311"/>
    <w:rsid w:val="00525A19"/>
    <w:rsid w:val="00525BD5"/>
    <w:rsid w:val="00525C1D"/>
    <w:rsid w:val="00563340"/>
    <w:rsid w:val="0056637E"/>
    <w:rsid w:val="00566416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536E"/>
    <w:rsid w:val="005C62B2"/>
    <w:rsid w:val="005D3E13"/>
    <w:rsid w:val="005D7191"/>
    <w:rsid w:val="005E3061"/>
    <w:rsid w:val="005F16AE"/>
    <w:rsid w:val="005F49D5"/>
    <w:rsid w:val="006016DF"/>
    <w:rsid w:val="00605D58"/>
    <w:rsid w:val="00606BB3"/>
    <w:rsid w:val="006135EC"/>
    <w:rsid w:val="0061471B"/>
    <w:rsid w:val="006261BD"/>
    <w:rsid w:val="00627C0D"/>
    <w:rsid w:val="00632568"/>
    <w:rsid w:val="00645458"/>
    <w:rsid w:val="00661D97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142"/>
    <w:rsid w:val="00754FB9"/>
    <w:rsid w:val="007554CC"/>
    <w:rsid w:val="0076751A"/>
    <w:rsid w:val="007715E5"/>
    <w:rsid w:val="00784B83"/>
    <w:rsid w:val="0078644D"/>
    <w:rsid w:val="00791739"/>
    <w:rsid w:val="00792301"/>
    <w:rsid w:val="00793F43"/>
    <w:rsid w:val="0079494D"/>
    <w:rsid w:val="007A28AA"/>
    <w:rsid w:val="007A29FA"/>
    <w:rsid w:val="007A535F"/>
    <w:rsid w:val="007A77A3"/>
    <w:rsid w:val="007B0935"/>
    <w:rsid w:val="007C7DAA"/>
    <w:rsid w:val="007D4C26"/>
    <w:rsid w:val="007E49AE"/>
    <w:rsid w:val="007F2C61"/>
    <w:rsid w:val="00800D5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73A16"/>
    <w:rsid w:val="00873F0D"/>
    <w:rsid w:val="00874CA5"/>
    <w:rsid w:val="008A0A06"/>
    <w:rsid w:val="008A6351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91CF4"/>
    <w:rsid w:val="00993544"/>
    <w:rsid w:val="009958CA"/>
    <w:rsid w:val="009A1131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23EFF"/>
    <w:rsid w:val="00B32886"/>
    <w:rsid w:val="00B41FC2"/>
    <w:rsid w:val="00B44133"/>
    <w:rsid w:val="00B63E7C"/>
    <w:rsid w:val="00B67FDC"/>
    <w:rsid w:val="00B70B70"/>
    <w:rsid w:val="00B733D9"/>
    <w:rsid w:val="00B73561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2A4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663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3650"/>
    <w:rsid w:val="00D176A8"/>
    <w:rsid w:val="00D17CFB"/>
    <w:rsid w:val="00D216BD"/>
    <w:rsid w:val="00D36EFF"/>
    <w:rsid w:val="00D4141E"/>
    <w:rsid w:val="00D56DEF"/>
    <w:rsid w:val="00D634CF"/>
    <w:rsid w:val="00D656E4"/>
    <w:rsid w:val="00D822FB"/>
    <w:rsid w:val="00D94920"/>
    <w:rsid w:val="00DC294C"/>
    <w:rsid w:val="00DD03F7"/>
    <w:rsid w:val="00DF0B31"/>
    <w:rsid w:val="00E02170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0AB3"/>
    <w:rsid w:val="00E919CA"/>
    <w:rsid w:val="00E935CE"/>
    <w:rsid w:val="00EB6B47"/>
    <w:rsid w:val="00EB7E3F"/>
    <w:rsid w:val="00EC0DAE"/>
    <w:rsid w:val="00EC455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1264"/>
    <w:rsid w:val="00FA1FD2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List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paragraph">
    <w:name w:val="paragraph"/>
    <w:basedOn w:val="Navaden"/>
    <w:rsid w:val="007D4C2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7D4C26"/>
  </w:style>
  <w:style w:type="character" w:customStyle="1" w:styleId="eop">
    <w:name w:val="eop"/>
    <w:basedOn w:val="Privzetapisavaodstavka"/>
    <w:rsid w:val="007D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2021-09-02T08:44:00Z</cp:lastPrinted>
  <dcterms:created xsi:type="dcterms:W3CDTF">2025-01-16T08:04:00Z</dcterms:created>
  <dcterms:modified xsi:type="dcterms:W3CDTF">2025-10-02T09:01:00Z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cbbceffecb325cf9377ceea9f360f683d363f4f890f040b958fc7fb93abc8248</vt:lpwstr>
  </property>
</Properties>
</file>