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16F64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916F64" w:rsidRPr="0049183D" w:rsidRDefault="00916F64" w:rsidP="00916F64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879F1B0" w:rsidR="00916F64" w:rsidRPr="00441443" w:rsidRDefault="00916F64" w:rsidP="00916F64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  <w:r w:rsidRPr="00914339">
              <w:rPr>
                <w:rFonts w:asciiTheme="minorHAnsi" w:hAnsiTheme="minorHAnsi"/>
              </w:rPr>
              <w:t>SODELOVANJE V OSKRBOVALNIH VERIGAH</w:t>
            </w:r>
          </w:p>
        </w:tc>
      </w:tr>
      <w:tr w:rsidR="00916F64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916F64" w:rsidRPr="0049183D" w:rsidRDefault="00916F64" w:rsidP="00916F6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6948898" w:rsidR="00916F64" w:rsidRPr="00441443" w:rsidRDefault="00916F64" w:rsidP="00916F64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14339">
              <w:rPr>
                <w:rStyle w:val="shorttext"/>
                <w:rFonts w:asciiTheme="minorHAnsi" w:hAnsiTheme="minorHAnsi"/>
                <w:lang w:val="en"/>
              </w:rPr>
              <w:t>COLLABORATION IN SUPPLY CHAINS</w:t>
            </w:r>
          </w:p>
        </w:tc>
      </w:tr>
      <w:tr w:rsidR="00322283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322283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322283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DF39C7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1. in 2</w:t>
            </w:r>
            <w:r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322283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322283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1848D1" w:rsidRDefault="00322283" w:rsidP="0032228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322283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322283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22283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441443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9F1551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B850FA" w:rsidRDefault="00322283" w:rsidP="003222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322283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49183D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22283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844BAFE" w:rsidR="00322283" w:rsidRPr="0049183D" w:rsidRDefault="00342D2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SONJA MLAKER KAČ</w:t>
            </w:r>
          </w:p>
        </w:tc>
      </w:tr>
      <w:tr w:rsidR="00322283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49183D" w:rsidRDefault="00322283" w:rsidP="0032228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22283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49183D" w:rsidRDefault="00322283" w:rsidP="0032228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49183D" w:rsidRDefault="00322283" w:rsidP="0032228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B850FA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322283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22283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872A95" w:rsidR="00322283" w:rsidRPr="009F1551" w:rsidRDefault="00322283" w:rsidP="00D943E4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E1796">
              <w:rPr>
                <w:rFonts w:asciiTheme="minorHAnsi" w:hAnsiTheme="minorHAnsi"/>
              </w:rPr>
              <w:t xml:space="preserve">Ni </w:t>
            </w:r>
            <w:r w:rsidR="00D943E4">
              <w:rPr>
                <w:rFonts w:asciiTheme="minorHAnsi" w:hAnsiTheme="minorHAnsi"/>
              </w:rPr>
              <w:t>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9F1551" w:rsidRDefault="00322283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8337234" w:rsidR="00322283" w:rsidRPr="009F1551" w:rsidRDefault="00D943E4" w:rsidP="0032228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322283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22283" w:rsidRPr="0049183D" w:rsidRDefault="00322283" w:rsidP="003222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6A37A5" w:rsidRPr="006A37A5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D65" w14:textId="77777777" w:rsidR="006A37A5" w:rsidRPr="006A37A5" w:rsidRDefault="006A37A5" w:rsidP="006A37A5">
            <w:pPr>
              <w:tabs>
                <w:tab w:val="num" w:pos="228"/>
              </w:tabs>
              <w:spacing w:after="0"/>
              <w:ind w:left="-56"/>
              <w:jc w:val="both"/>
              <w:rPr>
                <w:rFonts w:asciiTheme="minorHAnsi" w:hAnsiTheme="minorHAnsi"/>
                <w:b/>
                <w:lang w:val="pl-PL"/>
              </w:rPr>
            </w:pPr>
            <w:r w:rsidRPr="006A37A5">
              <w:rPr>
                <w:rFonts w:asciiTheme="minorHAnsi" w:hAnsiTheme="minorHAnsi"/>
                <w:lang w:val="pl-PL"/>
              </w:rPr>
              <w:t>Temeljna področja obravnave predmeta so naslednja:</w:t>
            </w:r>
          </w:p>
          <w:p w14:paraId="3059B7A1" w14:textId="6AC209FE" w:rsidR="006A37A5" w:rsidRPr="006A37A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6A37A5">
              <w:rPr>
                <w:rFonts w:asciiTheme="minorHAnsi" w:hAnsiTheme="minorHAnsi"/>
                <w:lang w:val="pl-PL"/>
              </w:rPr>
              <w:t>odnosi z različnimi deležniki,</w:t>
            </w:r>
          </w:p>
          <w:p w14:paraId="7CE67074" w14:textId="543F227F" w:rsidR="006A37A5" w:rsidRPr="006A37A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webHidden/>
                <w:lang w:val="pl-PL"/>
              </w:rPr>
            </w:pPr>
            <w:r w:rsidRPr="006A37A5">
              <w:rPr>
                <w:rFonts w:asciiTheme="minorHAnsi" w:hAnsiTheme="minorHAnsi"/>
                <w:lang w:val="pl-PL"/>
              </w:rPr>
              <w:t>zaupanje in pripadnost odnosu</w:t>
            </w:r>
            <w:r w:rsidRPr="006A37A5">
              <w:rPr>
                <w:rFonts w:asciiTheme="minorHAnsi" w:hAnsiTheme="minorHAnsi"/>
                <w:webHidden/>
                <w:lang w:val="pl-PL"/>
              </w:rPr>
              <w:t xml:space="preserve"> (medorganizacijsko zaupanje, definiranje zaupanja  in pripadnosti v kontekstu managementa oskrbovalnih verig, dejavniki vpliva na zaupanje in pripadnost v oskrbovalnih verigah),</w:t>
            </w:r>
          </w:p>
          <w:p w14:paraId="625112B6" w14:textId="672602F5" w:rsidR="006A37A5" w:rsidRPr="006A37A5" w:rsidRDefault="006A37A5" w:rsidP="006A37A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6A37A5">
              <w:rPr>
                <w:rFonts w:asciiTheme="minorHAnsi" w:hAnsiTheme="minorHAnsi"/>
                <w:webHidden/>
                <w:lang w:val="pl-PL"/>
              </w:rPr>
              <w:t>sodelovanje (medorganizacijsko sodelovanje, definiranje sodelovanja v kontekstu managementa oskrbovalnih verig, dejavniki vpliva na sodelovanje v oskrbovalnih verigah).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6A37A5" w:rsidRPr="006A37A5" w:rsidRDefault="006A37A5" w:rsidP="006A37A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3BE" w14:textId="77777777" w:rsidR="006A37A5" w:rsidRPr="006A37A5" w:rsidRDefault="006A37A5" w:rsidP="006A37A5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37A5">
              <w:rPr>
                <w:rFonts w:asciiTheme="minorHAnsi" w:hAnsiTheme="minorHAnsi" w:cs="Arial"/>
                <w:sz w:val="22"/>
                <w:szCs w:val="22"/>
              </w:rPr>
              <w:t>Basic fields of this subject are:</w:t>
            </w:r>
          </w:p>
          <w:p w14:paraId="359DC482" w14:textId="55514FCD" w:rsidR="006A37A5" w:rsidRPr="006A37A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37A5">
              <w:rPr>
                <w:rFonts w:asciiTheme="minorHAnsi" w:hAnsiTheme="minorHAnsi" w:cs="Arial"/>
                <w:sz w:val="22"/>
                <w:szCs w:val="22"/>
              </w:rPr>
              <w:t>relationships with different stakeholders,</w:t>
            </w:r>
          </w:p>
          <w:p w14:paraId="008889D2" w14:textId="49808AF9" w:rsidR="006A37A5" w:rsidRPr="006A37A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37A5">
              <w:rPr>
                <w:rFonts w:asciiTheme="minorHAnsi" w:hAnsiTheme="minorHAnsi" w:cs="Arial"/>
                <w:sz w:val="22"/>
                <w:szCs w:val="22"/>
              </w:rPr>
              <w:t>trust and relationship commitment (interorganizational trust, trust and relations</w:t>
            </w:r>
            <w:r w:rsidR="000A20F6">
              <w:rPr>
                <w:rFonts w:asciiTheme="minorHAnsi" w:hAnsiTheme="minorHAnsi" w:cs="Arial"/>
                <w:sz w:val="22"/>
                <w:szCs w:val="22"/>
              </w:rPr>
              <w:t>hip commitment in terms of supp</w:t>
            </w:r>
            <w:r w:rsidRPr="006A37A5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0A20F6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6A37A5">
              <w:rPr>
                <w:rFonts w:asciiTheme="minorHAnsi" w:hAnsiTheme="minorHAnsi" w:cs="Arial"/>
                <w:sz w:val="22"/>
                <w:szCs w:val="22"/>
              </w:rPr>
              <w:t xml:space="preserve"> chain management, factors influencing trust and relationship commitment),</w:t>
            </w:r>
          </w:p>
          <w:p w14:paraId="68E25B91" w14:textId="77173993" w:rsidR="006A37A5" w:rsidRPr="006A37A5" w:rsidRDefault="006A37A5" w:rsidP="006A37A5">
            <w:pPr>
              <w:pStyle w:val="Odstavekseznama1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A37A5">
              <w:rPr>
                <w:rFonts w:asciiTheme="minorHAnsi" w:hAnsiTheme="minorHAnsi" w:cs="Arial"/>
                <w:sz w:val="22"/>
                <w:szCs w:val="22"/>
              </w:rPr>
              <w:t>collaborative behaviour (interorganizational collaboration, collaboration in supply chain management, factors influencing collaboration in supply chains).</w:t>
            </w:r>
          </w:p>
        </w:tc>
      </w:tr>
      <w:tr w:rsidR="006A37A5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6A37A5" w:rsidRPr="0049183D" w:rsidRDefault="006A37A5" w:rsidP="006A37A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6A37A5" w:rsidRPr="0049183D" w:rsidRDefault="006A37A5" w:rsidP="006A37A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A37A5" w:rsidRPr="00322283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068" w14:textId="066D0896" w:rsidR="00897C0D" w:rsidRPr="00DC4175" w:rsidRDefault="00897C0D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 w:cstheme="minorHAnsi"/>
              </w:rPr>
            </w:pPr>
            <w:r w:rsidRPr="00DC4175">
              <w:rPr>
                <w:rFonts w:asciiTheme="minorHAnsi" w:hAnsiTheme="minorHAnsi" w:cstheme="minorHAnsi"/>
              </w:rPr>
              <w:t xml:space="preserve">Sweeney, E. &amp; Waters, D. (2021). </w:t>
            </w:r>
            <w:r w:rsidRPr="00DC4175">
              <w:rPr>
                <w:rFonts w:asciiTheme="minorHAnsi" w:hAnsiTheme="minorHAnsi" w:cstheme="minorHAnsi"/>
                <w:i/>
                <w:iCs/>
              </w:rPr>
              <w:t>Global logistics: new directions in supply chain management</w:t>
            </w:r>
            <w:r w:rsidR="00366CA4">
              <w:rPr>
                <w:rFonts w:asciiTheme="minorHAnsi" w:hAnsiTheme="minorHAnsi" w:cstheme="minorHAnsi"/>
              </w:rPr>
              <w:t xml:space="preserve"> (8th ed.).</w:t>
            </w:r>
            <w:r w:rsidRPr="00DC4175">
              <w:rPr>
                <w:rFonts w:asciiTheme="minorHAnsi" w:hAnsiTheme="minorHAnsi" w:cstheme="minorHAnsi"/>
              </w:rPr>
              <w:t xml:space="preserve"> Kogan Page.</w:t>
            </w:r>
            <w:r w:rsidR="00BC03C6" w:rsidRPr="00DC4175">
              <w:rPr>
                <w:rFonts w:asciiTheme="minorHAnsi" w:hAnsiTheme="minorHAnsi" w:cstheme="minorHAnsi"/>
              </w:rPr>
              <w:t xml:space="preserve"> </w:t>
            </w:r>
          </w:p>
          <w:p w14:paraId="77FE20B2" w14:textId="2A27A819" w:rsidR="00082E2A" w:rsidRDefault="00082E2A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 w:cstheme="minorHAnsi"/>
              </w:rPr>
            </w:pPr>
            <w:r w:rsidRPr="00082E2A">
              <w:rPr>
                <w:rFonts w:asciiTheme="minorHAnsi" w:hAnsiTheme="minorHAnsi" w:cstheme="minorHAnsi"/>
              </w:rPr>
              <w:lastRenderedPageBreak/>
              <w:t>Mangan, J., Lalwani, C., &amp; Butcher, T. (2008). </w:t>
            </w:r>
            <w:r w:rsidRPr="00082E2A">
              <w:rPr>
                <w:rFonts w:asciiTheme="minorHAnsi" w:hAnsiTheme="minorHAnsi" w:cstheme="minorHAnsi"/>
                <w:i/>
                <w:iCs/>
              </w:rPr>
              <w:t>Global logistics and supply chain management</w:t>
            </w:r>
            <w:r w:rsidRPr="00082E2A">
              <w:rPr>
                <w:rFonts w:asciiTheme="minorHAnsi" w:hAnsiTheme="minorHAnsi" w:cstheme="minorHAnsi"/>
              </w:rPr>
              <w:t>. John Wiley &amp; Sons.</w:t>
            </w:r>
          </w:p>
          <w:p w14:paraId="1241FC3E" w14:textId="79AB442B" w:rsidR="00E70B31" w:rsidRPr="00DC4175" w:rsidRDefault="00E70B31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 w:cstheme="minorHAnsi"/>
              </w:rPr>
            </w:pPr>
            <w:r w:rsidRPr="00DC4175">
              <w:rPr>
                <w:rFonts w:asciiTheme="minorHAnsi" w:hAnsiTheme="minorHAnsi" w:cstheme="minorHAnsi"/>
              </w:rPr>
              <w:t xml:space="preserve">Brooks, I. (2018). </w:t>
            </w:r>
            <w:r w:rsidRPr="00DC4175">
              <w:rPr>
                <w:rFonts w:asciiTheme="minorHAnsi" w:hAnsiTheme="minorHAnsi" w:cstheme="minorHAnsi"/>
                <w:i/>
                <w:iCs/>
              </w:rPr>
              <w:t>Organisational behav</w:t>
            </w:r>
            <w:r w:rsidR="00BC03C6" w:rsidRPr="00DC4175">
              <w:rPr>
                <w:rFonts w:asciiTheme="minorHAnsi" w:hAnsiTheme="minorHAnsi" w:cstheme="minorHAnsi"/>
                <w:i/>
                <w:iCs/>
              </w:rPr>
              <w:t>i</w:t>
            </w:r>
            <w:r w:rsidRPr="00DC4175">
              <w:rPr>
                <w:rFonts w:asciiTheme="minorHAnsi" w:hAnsiTheme="minorHAnsi" w:cstheme="minorHAnsi"/>
                <w:i/>
                <w:iCs/>
              </w:rPr>
              <w:t>our: individuals, groups and organisation</w:t>
            </w:r>
            <w:r w:rsidR="00D614E1">
              <w:rPr>
                <w:rFonts w:asciiTheme="minorHAnsi" w:hAnsiTheme="minorHAnsi" w:cstheme="minorHAnsi"/>
              </w:rPr>
              <w:t xml:space="preserve"> (5th ed.). </w:t>
            </w:r>
            <w:r w:rsidRPr="00DC4175">
              <w:rPr>
                <w:rFonts w:asciiTheme="minorHAnsi" w:hAnsiTheme="minorHAnsi" w:cstheme="minorHAnsi"/>
              </w:rPr>
              <w:t>Pearson</w:t>
            </w:r>
            <w:r w:rsidR="00D614E1">
              <w:rPr>
                <w:rFonts w:asciiTheme="minorHAnsi" w:hAnsiTheme="minorHAnsi" w:cstheme="minorHAnsi"/>
              </w:rPr>
              <w:t>.</w:t>
            </w:r>
          </w:p>
          <w:p w14:paraId="5869FA1E" w14:textId="2A35EE55" w:rsidR="00821B4F" w:rsidRDefault="00821B4F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/>
              </w:rPr>
            </w:pPr>
            <w:r w:rsidRPr="00821B4F">
              <w:rPr>
                <w:rFonts w:asciiTheme="minorHAnsi" w:hAnsiTheme="minorHAnsi" w:cstheme="minorHAnsi"/>
              </w:rPr>
              <w:t>Mullins, L. J., &amp; Rees, G. (2023). </w:t>
            </w:r>
            <w:r w:rsidRPr="00821B4F">
              <w:rPr>
                <w:rFonts w:asciiTheme="minorHAnsi" w:hAnsiTheme="minorHAnsi" w:cstheme="minorHAnsi"/>
                <w:i/>
                <w:iCs/>
              </w:rPr>
              <w:t>Management and organisational behaviour</w:t>
            </w:r>
            <w:r w:rsidRPr="00821B4F">
              <w:rPr>
                <w:rFonts w:asciiTheme="minorHAnsi" w:hAnsiTheme="minorHAnsi" w:cstheme="minorHAnsi"/>
              </w:rPr>
              <w:t> (13th ed., str. XIX, 631). Pearson.</w:t>
            </w:r>
            <w:r w:rsidRPr="00821B4F" w:rsidDel="00821B4F">
              <w:rPr>
                <w:rFonts w:asciiTheme="minorHAnsi" w:hAnsiTheme="minorHAnsi" w:cstheme="minorHAnsi"/>
              </w:rPr>
              <w:t xml:space="preserve"> </w:t>
            </w:r>
          </w:p>
          <w:p w14:paraId="44239AD7" w14:textId="7204FB7B" w:rsidR="006A37A5" w:rsidRPr="00DC4175" w:rsidRDefault="006A37A5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/>
                <w:i/>
              </w:rPr>
            </w:pPr>
            <w:r w:rsidRPr="00DC4175">
              <w:rPr>
                <w:rFonts w:asciiTheme="minorHAnsi" w:hAnsiTheme="minorHAnsi"/>
              </w:rPr>
              <w:t>Cao, M. &amp; Zhang, Q. (201</w:t>
            </w:r>
            <w:r w:rsidR="00CC2D5B">
              <w:rPr>
                <w:rFonts w:asciiTheme="minorHAnsi" w:hAnsiTheme="minorHAnsi"/>
              </w:rPr>
              <w:t>4</w:t>
            </w:r>
            <w:r w:rsidRPr="00DC4175">
              <w:rPr>
                <w:rFonts w:asciiTheme="minorHAnsi" w:hAnsiTheme="minorHAnsi"/>
              </w:rPr>
              <w:t xml:space="preserve">). </w:t>
            </w:r>
            <w:r w:rsidRPr="00DC4175">
              <w:rPr>
                <w:rFonts w:asciiTheme="minorHAnsi" w:hAnsiTheme="minorHAnsi"/>
                <w:i/>
              </w:rPr>
              <w:t>Supply Chain Collaboration: Rules of Interorganizational Systems, Trust and</w:t>
            </w:r>
          </w:p>
          <w:p w14:paraId="7CBE64A9" w14:textId="274E2C8F" w:rsidR="006A37A5" w:rsidRPr="00DC4175" w:rsidRDefault="006A37A5" w:rsidP="006A37A5">
            <w:pPr>
              <w:spacing w:after="0"/>
              <w:ind w:left="568" w:hangingChars="258" w:hanging="568"/>
              <w:jc w:val="both"/>
              <w:rPr>
                <w:rFonts w:asciiTheme="minorHAnsi" w:hAnsiTheme="minorHAnsi"/>
                <w:b/>
                <w:i/>
              </w:rPr>
            </w:pPr>
            <w:r w:rsidRPr="00DC4175">
              <w:rPr>
                <w:rFonts w:asciiTheme="minorHAnsi" w:hAnsiTheme="minorHAnsi"/>
                <w:i/>
              </w:rPr>
              <w:t>Collaborative Culture</w:t>
            </w:r>
            <w:r w:rsidRPr="00DC4175">
              <w:rPr>
                <w:rFonts w:asciiTheme="minorHAnsi" w:hAnsiTheme="minorHAnsi"/>
              </w:rPr>
              <w:t>. Springer.</w:t>
            </w:r>
            <w:r w:rsidR="00E01016" w:rsidRPr="00DC4175">
              <w:rPr>
                <w:rFonts w:asciiTheme="minorHAnsi" w:hAnsiTheme="minorHAnsi"/>
              </w:rPr>
              <w:t xml:space="preserve"> </w:t>
            </w:r>
          </w:p>
          <w:p w14:paraId="51E38698" w14:textId="77777777" w:rsidR="006A37A5" w:rsidRPr="00DC4175" w:rsidRDefault="006A37A5" w:rsidP="006A37A5">
            <w:pPr>
              <w:spacing w:after="0"/>
              <w:ind w:left="653" w:right="113" w:hanging="653"/>
              <w:jc w:val="both"/>
              <w:rPr>
                <w:rFonts w:asciiTheme="minorHAnsi" w:hAnsiTheme="minorHAnsi"/>
              </w:rPr>
            </w:pPr>
            <w:r w:rsidRPr="00DC4175">
              <w:rPr>
                <w:rFonts w:asciiTheme="minorHAnsi" w:hAnsiTheme="minorHAnsi"/>
              </w:rPr>
              <w:t>Mlaker Kač, S., Gorenak, I., Potočan, V. (2016). The influence of trust on collaborative relationships in supply</w:t>
            </w:r>
          </w:p>
          <w:p w14:paraId="2FC087D3" w14:textId="2731A443" w:rsidR="006A37A5" w:rsidRPr="00DC4175" w:rsidRDefault="006A37A5" w:rsidP="000511DA">
            <w:pPr>
              <w:spacing w:after="0"/>
              <w:ind w:right="113"/>
              <w:jc w:val="both"/>
              <w:rPr>
                <w:rFonts w:asciiTheme="minorHAnsi" w:hAnsiTheme="minorHAnsi"/>
              </w:rPr>
            </w:pPr>
            <w:r w:rsidRPr="00DC4175">
              <w:rPr>
                <w:rFonts w:asciiTheme="minorHAnsi" w:hAnsiTheme="minorHAnsi"/>
              </w:rPr>
              <w:t xml:space="preserve">chains. </w:t>
            </w:r>
            <w:r w:rsidRPr="00DC4175">
              <w:rPr>
                <w:rFonts w:asciiTheme="minorHAnsi" w:hAnsiTheme="minorHAnsi"/>
                <w:i/>
                <w:iCs/>
              </w:rPr>
              <w:t>E+M : ekonomie a management</w:t>
            </w:r>
            <w:r w:rsidRPr="00DC4175">
              <w:rPr>
                <w:rFonts w:asciiTheme="minorHAnsi" w:hAnsiTheme="minorHAnsi"/>
              </w:rPr>
              <w:t>,  19, (2), 120-131.</w:t>
            </w:r>
            <w:r w:rsidR="00E01016" w:rsidRPr="00DC4175">
              <w:rPr>
                <w:rFonts w:asciiTheme="minorHAnsi" w:hAnsiTheme="minorHAnsi"/>
              </w:rPr>
              <w:t xml:space="preserve"> </w:t>
            </w:r>
            <w:r w:rsidR="002649A2" w:rsidRPr="002649A2">
              <w:rPr>
                <w:rFonts w:asciiTheme="minorHAnsi" w:hAnsiTheme="minorHAnsi" w:cstheme="minorHAnsi"/>
              </w:rPr>
              <w:t>http://dx.doi.org/10.15240/tul/001/2016-2-008</w:t>
            </w:r>
            <w:r w:rsidR="002649A2" w:rsidRPr="002649A2" w:rsidDel="002649A2">
              <w:rPr>
                <w:rFonts w:asciiTheme="minorHAnsi" w:hAnsiTheme="minorHAnsi" w:cstheme="minorHAnsi"/>
              </w:rPr>
              <w:t xml:space="preserve"> </w:t>
            </w:r>
            <w:r w:rsidRPr="00DC4175">
              <w:rPr>
                <w:rFonts w:asciiTheme="minorHAnsi" w:hAnsiTheme="minorHAnsi"/>
              </w:rPr>
              <w:t>Mlaker Kač, S., Gorenak, I. (2016). Differences in understanding the importance of factors influencing</w:t>
            </w:r>
          </w:p>
          <w:p w14:paraId="00D7ED98" w14:textId="77777777" w:rsidR="006A37A5" w:rsidRPr="00DC4175" w:rsidRDefault="006A37A5" w:rsidP="006A37A5">
            <w:pPr>
              <w:spacing w:after="0"/>
              <w:ind w:left="653" w:right="113" w:hanging="653"/>
              <w:jc w:val="both"/>
              <w:rPr>
                <w:rFonts w:asciiTheme="minorHAnsi" w:hAnsiTheme="minorHAnsi"/>
              </w:rPr>
            </w:pPr>
            <w:r w:rsidRPr="00DC4175">
              <w:rPr>
                <w:rFonts w:asciiTheme="minorHAnsi" w:hAnsiTheme="minorHAnsi"/>
              </w:rPr>
              <w:t>Collaboration</w:t>
            </w:r>
            <w:r w:rsidRPr="00DC4175">
              <w:rPr>
                <w:rFonts w:asciiTheme="minorHAnsi" w:hAnsiTheme="minorHAnsi"/>
                <w:b/>
              </w:rPr>
              <w:t xml:space="preserve"> </w:t>
            </w:r>
            <w:r w:rsidRPr="00DC4175">
              <w:rPr>
                <w:rFonts w:asciiTheme="minorHAnsi" w:hAnsiTheme="minorHAnsi"/>
              </w:rPr>
              <w:t>in supply chains in view of educational background and work experiences = Razlike</w:t>
            </w:r>
          </w:p>
          <w:p w14:paraId="7406DF78" w14:textId="77777777" w:rsidR="006A37A5" w:rsidRPr="00DC4175" w:rsidRDefault="006A37A5" w:rsidP="006A37A5">
            <w:pPr>
              <w:spacing w:after="0"/>
              <w:ind w:left="653" w:right="113" w:hanging="653"/>
              <w:jc w:val="both"/>
              <w:rPr>
                <w:rFonts w:asciiTheme="minorHAnsi" w:hAnsiTheme="minorHAnsi"/>
              </w:rPr>
            </w:pPr>
            <w:r w:rsidRPr="00DC4175">
              <w:rPr>
                <w:rFonts w:asciiTheme="minorHAnsi" w:hAnsiTheme="minorHAnsi"/>
              </w:rPr>
              <w:t>u razumijevanju važnosti faktora</w:t>
            </w:r>
            <w:r w:rsidRPr="00DC4175">
              <w:rPr>
                <w:rFonts w:asciiTheme="minorHAnsi" w:hAnsiTheme="minorHAnsi"/>
                <w:b/>
              </w:rPr>
              <w:t xml:space="preserve"> </w:t>
            </w:r>
            <w:r w:rsidRPr="00DC4175">
              <w:rPr>
                <w:rFonts w:asciiTheme="minorHAnsi" w:hAnsiTheme="minorHAnsi"/>
              </w:rPr>
              <w:t>koji utječu na suradnju u opskrbnim lancima s obzirom na razinu</w:t>
            </w:r>
          </w:p>
          <w:p w14:paraId="779DF25E" w14:textId="1ED77F11" w:rsidR="006A37A5" w:rsidRPr="00DC4175" w:rsidRDefault="006A37A5" w:rsidP="000511DA">
            <w:pPr>
              <w:spacing w:after="0"/>
              <w:ind w:right="113"/>
              <w:jc w:val="both"/>
              <w:rPr>
                <w:rFonts w:asciiTheme="minorHAnsi" w:hAnsiTheme="minorHAnsi"/>
              </w:rPr>
            </w:pPr>
            <w:r w:rsidRPr="00DC4175">
              <w:rPr>
                <w:rFonts w:asciiTheme="minorHAnsi" w:hAnsiTheme="minorHAnsi"/>
              </w:rPr>
              <w:t xml:space="preserve">obrazovanja i radno iskustvo. </w:t>
            </w:r>
            <w:r w:rsidRPr="00DC4175">
              <w:rPr>
                <w:rFonts w:asciiTheme="minorHAnsi" w:hAnsiTheme="minorHAnsi"/>
                <w:i/>
                <w:iCs/>
              </w:rPr>
              <w:t>Informatologia</w:t>
            </w:r>
            <w:r w:rsidRPr="00DC4175">
              <w:rPr>
                <w:rFonts w:asciiTheme="minorHAnsi" w:hAnsiTheme="minorHAnsi"/>
              </w:rPr>
              <w:t>, 49, (1/2), 22-30.</w:t>
            </w:r>
            <w:r w:rsidR="00D37BD3">
              <w:rPr>
                <w:rFonts w:asciiTheme="minorHAnsi" w:hAnsiTheme="minorHAnsi"/>
              </w:rPr>
              <w:t xml:space="preserve"> </w:t>
            </w:r>
            <w:r w:rsidR="00D37BD3" w:rsidRPr="00D37BD3">
              <w:rPr>
                <w:rFonts w:asciiTheme="minorHAnsi" w:hAnsiTheme="minorHAnsi" w:cstheme="minorHAnsi"/>
              </w:rPr>
              <w:t>http://hrcak.srce.hr/index.php?show=clanak&amp;id_clanak_jezik=238653</w:t>
            </w:r>
          </w:p>
          <w:p w14:paraId="6A1CEC76" w14:textId="51ED1819" w:rsidR="0020233D" w:rsidRPr="00BA6A5B" w:rsidRDefault="0020233D" w:rsidP="00DC4175">
            <w:pPr>
              <w:rPr>
                <w:rFonts w:asciiTheme="minorHAnsi" w:hAnsiTheme="minorHAnsi" w:cstheme="minorHAnsi"/>
              </w:rPr>
            </w:pPr>
          </w:p>
        </w:tc>
      </w:tr>
      <w:tr w:rsidR="006A37A5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A37A5" w:rsidRPr="00D04A41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04E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>Osnovni namen predmeta je seznaniti študente z izbranimi izhodišči in značilnostmi sodelovanja med posameznimi deležniki v oskrbovalnih verigah ter dejavniki, ki vplivajo  na to sodelovanje.</w:t>
            </w:r>
          </w:p>
          <w:p w14:paraId="57543CCD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Temeljni cilji predmeta so: </w:t>
            </w:r>
          </w:p>
          <w:p w14:paraId="55AD74B7" w14:textId="77777777" w:rsidR="006A37A5" w:rsidRPr="00914339" w:rsidRDefault="006A37A5" w:rsidP="006A37A5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diskusija o pomenu sodelovanja v oskrbovalnih verigah, </w:t>
            </w:r>
          </w:p>
          <w:p w14:paraId="7A636E10" w14:textId="77777777" w:rsidR="006A37A5" w:rsidRPr="00914339" w:rsidRDefault="006A37A5" w:rsidP="006A37A5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spoznanje različnih teoretičnih in metodoloških </w:t>
            </w:r>
          </w:p>
          <w:p w14:paraId="538256FE" w14:textId="11CAF1CC" w:rsidR="006A37A5" w:rsidRPr="00914339" w:rsidRDefault="000A20F6" w:rsidP="000A20F6">
            <w:pPr>
              <w:spacing w:after="0"/>
              <w:ind w:left="365" w:hanging="365"/>
              <w:jc w:val="both"/>
              <w:rPr>
                <w:rFonts w:asciiTheme="minorHAnsi" w:hAnsiTheme="minorHAnsi"/>
                <w:b/>
                <w:lang w:eastAsia="sl-SI"/>
              </w:rPr>
            </w:pPr>
            <w:r>
              <w:rPr>
                <w:rFonts w:asciiTheme="minorHAnsi" w:hAnsiTheme="minorHAnsi"/>
                <w:lang w:eastAsia="sl-SI"/>
              </w:rPr>
              <w:t xml:space="preserve">       </w:t>
            </w:r>
            <w:r w:rsidR="006A37A5" w:rsidRPr="00914339">
              <w:rPr>
                <w:rFonts w:asciiTheme="minorHAnsi" w:hAnsiTheme="minorHAnsi"/>
                <w:lang w:eastAsia="sl-SI"/>
              </w:rPr>
              <w:t xml:space="preserve">pristopov za študij različnih dejavnikov, ki  </w:t>
            </w:r>
            <w:r>
              <w:rPr>
                <w:rFonts w:asciiTheme="minorHAnsi" w:hAnsiTheme="minorHAnsi"/>
                <w:lang w:eastAsia="sl-SI"/>
              </w:rPr>
              <w:t xml:space="preserve">           </w:t>
            </w:r>
            <w:r w:rsidR="006A37A5" w:rsidRPr="00914339">
              <w:rPr>
                <w:rFonts w:asciiTheme="minorHAnsi" w:hAnsiTheme="minorHAnsi"/>
                <w:lang w:eastAsia="sl-SI"/>
              </w:rPr>
              <w:t xml:space="preserve">vplivajo  na sodelovanje v oskrbovalnih verigah, </w:t>
            </w:r>
          </w:p>
          <w:p w14:paraId="4A503FCA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predstavitev vpliva zaupanja in pripadnosti odnosu  na sodelovanje v oskrbovalnih verigah. </w:t>
            </w:r>
          </w:p>
          <w:p w14:paraId="03AC0958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Navedene cilje je mogoče doseči na osnovi spoznanja vloge in pomena: </w:t>
            </w:r>
          </w:p>
          <w:p w14:paraId="79EF2A17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sodelovanja med partnerji/deležniki v oskrbovalni  verigi, </w:t>
            </w:r>
          </w:p>
          <w:p w14:paraId="672EAC3D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>dejavnikov, ki  vplivajo na zaupanje in pripadnost odnosu v oskrbovalni verigi,</w:t>
            </w:r>
          </w:p>
          <w:p w14:paraId="049291FB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vpliva teh dejavnikov na kvaliteto sodelovanja partnerjev v oskrbovalni  verigi. </w:t>
            </w:r>
          </w:p>
          <w:p w14:paraId="05F6FA4B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S tem bodo študentje pridobili potrebna spoznanja (in znanja) za nadaljnjo samostojno izobraževanje,  </w:t>
            </w:r>
          </w:p>
          <w:p w14:paraId="582EF3EA" w14:textId="6EFCD691" w:rsidR="006A37A5" w:rsidRPr="006A37A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usposabljanje in raziskovanje  na področju </w:t>
            </w:r>
            <w:r>
              <w:rPr>
                <w:rFonts w:asciiTheme="minorHAnsi" w:hAnsiTheme="minorHAnsi"/>
                <w:b/>
                <w:lang w:eastAsia="sl-SI"/>
              </w:rPr>
              <w:t xml:space="preserve"> </w:t>
            </w:r>
            <w:r w:rsidRPr="006A37A5">
              <w:rPr>
                <w:rFonts w:asciiTheme="minorHAnsi" w:hAnsiTheme="minorHAnsi"/>
                <w:lang w:eastAsia="sl-SI"/>
              </w:rPr>
              <w:t>managementa oskrbovalnih verig.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6A37A5" w:rsidRPr="00D04A41" w:rsidRDefault="006A37A5" w:rsidP="006A37A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E6D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Basic purpose of this subject is to introduce students some basic and general attributes of collaboration between stakeholders in supply chains and factors that are influencing them.</w:t>
            </w:r>
          </w:p>
          <w:p w14:paraId="3A501A50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Main goals of this subject are:</w:t>
            </w:r>
          </w:p>
          <w:p w14:paraId="2E0E4A2D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discussion about the importance of collaboration in supply chains,</w:t>
            </w:r>
          </w:p>
          <w:p w14:paraId="75407563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knowledge about different theoretical and methodological approaches in supply chains,</w:t>
            </w:r>
          </w:p>
          <w:p w14:paraId="44E45D63" w14:textId="77777777" w:rsidR="006A37A5" w:rsidRPr="00914339" w:rsidRDefault="006A37A5" w:rsidP="006A37A5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to present influence of trust and relationship commitment in supply chains.</w:t>
            </w:r>
          </w:p>
          <w:p w14:paraId="07DF73B6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These goals are achievable with understanding of:</w:t>
            </w:r>
          </w:p>
          <w:p w14:paraId="2266D14E" w14:textId="77777777" w:rsidR="006A37A5" w:rsidRPr="00914339" w:rsidRDefault="006A37A5" w:rsidP="006A37A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collaboration between partners/stakeholders in supply chains,</w:t>
            </w:r>
          </w:p>
          <w:p w14:paraId="5D785C0D" w14:textId="77777777" w:rsidR="006A37A5" w:rsidRPr="00914339" w:rsidRDefault="006A37A5" w:rsidP="006A37A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factors influencing trust and relationship commitment in supply chains,</w:t>
            </w:r>
          </w:p>
          <w:p w14:paraId="6D7039D5" w14:textId="77777777" w:rsidR="006A37A5" w:rsidRPr="00914339" w:rsidRDefault="006A37A5" w:rsidP="006A37A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influence of these factors on quality of supply chain relationships.</w:t>
            </w:r>
          </w:p>
          <w:p w14:paraId="41C5AAA2" w14:textId="68671FC3" w:rsidR="006A37A5" w:rsidRPr="006A37A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 xml:space="preserve">Students will get the appropriate knowledge for further individual work, training and research in field of supply chain management. </w:t>
            </w:r>
          </w:p>
        </w:tc>
      </w:tr>
      <w:tr w:rsidR="006A37A5" w:rsidRPr="0049183D" w14:paraId="2732D8B1" w14:textId="77777777" w:rsidTr="00D943E4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6A37A5" w:rsidRPr="003F09F5" w14:paraId="355E000C" w14:textId="77777777" w:rsidTr="006A37A5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96E5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Znanje in razumevanje:</w:t>
            </w:r>
          </w:p>
          <w:p w14:paraId="1042922E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Ob zaključku predmeta bodo udeleženci: </w:t>
            </w:r>
          </w:p>
          <w:p w14:paraId="64EEB105" w14:textId="77777777" w:rsidR="006A37A5" w:rsidRPr="00914339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pridobili splošno znanje o sodelovanju v oskrbovalni  verigi, </w:t>
            </w:r>
          </w:p>
          <w:p w14:paraId="340A0381" w14:textId="77777777" w:rsidR="006A37A5" w:rsidRPr="00914339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pridobili specifično znanje o dejavnikih, ki  vplivajo na sodelovanje v oskrbovalni  verigi, </w:t>
            </w:r>
          </w:p>
          <w:p w14:paraId="7F353AE9" w14:textId="77777777" w:rsidR="006A37A5" w:rsidRPr="00914339" w:rsidRDefault="006A37A5" w:rsidP="006A37A5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>razvili sposobnost za prepoznavo in izboljšanje dejavnikov, ki vplivajo  na sodelovanje v oskrbovalni  verigi.</w:t>
            </w:r>
          </w:p>
          <w:p w14:paraId="46DEA773" w14:textId="10FB8D6F" w:rsidR="006A37A5" w:rsidRPr="006A37A5" w:rsidRDefault="006A37A5" w:rsidP="006A3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6A37A5" w:rsidRPr="003F09F5" w:rsidRDefault="006A37A5" w:rsidP="006A37A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6A37A5" w:rsidRPr="003F09F5" w:rsidRDefault="006A37A5" w:rsidP="006A37A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6A37A5" w:rsidRPr="003F09F5" w:rsidRDefault="006A37A5" w:rsidP="006A37A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45CC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Knowledge and understanding:</w:t>
            </w:r>
          </w:p>
          <w:p w14:paraId="462E82DE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At the end of this subject the students will:</w:t>
            </w:r>
          </w:p>
          <w:p w14:paraId="015F5DBD" w14:textId="287655A8" w:rsidR="006A37A5" w:rsidRPr="00914339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g</w:t>
            </w:r>
            <w:r w:rsidR="006A37A5" w:rsidRPr="00914339">
              <w:rPr>
                <w:rFonts w:asciiTheme="minorHAnsi" w:hAnsiTheme="minorHAnsi"/>
              </w:rPr>
              <w:t>et g</w:t>
            </w:r>
            <w:r w:rsidR="00CF4AB7">
              <w:rPr>
                <w:rFonts w:asciiTheme="minorHAnsi" w:hAnsiTheme="minorHAnsi"/>
              </w:rPr>
              <w:t>eneral and contemplation knowledge</w:t>
            </w:r>
            <w:r w:rsidR="006A37A5" w:rsidRPr="00914339">
              <w:rPr>
                <w:rFonts w:asciiTheme="minorHAnsi" w:hAnsiTheme="minorHAnsi"/>
              </w:rPr>
              <w:t xml:space="preserve"> about supply chain management,</w:t>
            </w:r>
          </w:p>
          <w:p w14:paraId="429BBC08" w14:textId="7BC5D588" w:rsidR="006A37A5" w:rsidRPr="00914339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g</w:t>
            </w:r>
            <w:r w:rsidR="006A37A5" w:rsidRPr="00914339">
              <w:rPr>
                <w:rFonts w:asciiTheme="minorHAnsi" w:hAnsiTheme="minorHAnsi"/>
              </w:rPr>
              <w:t>et specific knowledge about factors that have influence on supply chain management,</w:t>
            </w:r>
          </w:p>
          <w:p w14:paraId="06D50644" w14:textId="7F910463" w:rsidR="006A37A5" w:rsidRPr="000A20F6" w:rsidRDefault="000A20F6" w:rsidP="006A37A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</w:t>
            </w:r>
            <w:r w:rsidR="006A37A5" w:rsidRPr="00914339">
              <w:rPr>
                <w:rFonts w:asciiTheme="minorHAnsi" w:hAnsiTheme="minorHAnsi"/>
              </w:rPr>
              <w:t>evelop ability to recognise and improve factors that have influence on supply chain management.</w:t>
            </w:r>
          </w:p>
        </w:tc>
      </w:tr>
      <w:tr w:rsidR="006A37A5" w:rsidRPr="003F09F5" w14:paraId="4AF30F34" w14:textId="77777777" w:rsidTr="006A37A5">
        <w:trPr>
          <w:trHeight w:val="20"/>
        </w:trPr>
        <w:tc>
          <w:tcPr>
            <w:tcW w:w="47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7E1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lastRenderedPageBreak/>
              <w:t>Prenesljive/ključne spretnosti in drugi atributi:</w:t>
            </w:r>
          </w:p>
          <w:p w14:paraId="75C3E0EB" w14:textId="1FC8E743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</w:rPr>
            </w:pPr>
            <w:r w:rsidRPr="00914339">
              <w:rPr>
                <w:rFonts w:asciiTheme="minorHAnsi" w:hAnsiTheme="minorHAnsi"/>
                <w:lang w:eastAsia="sl-SI"/>
              </w:rPr>
              <w:t>Komunikacijske spretnosti, spretnost za uporabo teoretičnega znanja v raziskovanju, spretnost kreativnega raziskovanja realnosti, sposobnost sistemskega razmišljanja.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87F85" w14:textId="77777777" w:rsidR="006A37A5" w:rsidRPr="003F09F5" w:rsidRDefault="006A37A5" w:rsidP="006A37A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DFD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Key capabilities and other attributes:</w:t>
            </w:r>
          </w:p>
          <w:p w14:paraId="5360FDBD" w14:textId="1A8BC630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</w:rPr>
            </w:pPr>
            <w:r w:rsidRPr="00914339">
              <w:rPr>
                <w:rFonts w:asciiTheme="minorHAnsi" w:hAnsiTheme="minorHAnsi"/>
              </w:rPr>
              <w:t xml:space="preserve">Communication skills, ability to use theoretical knowledge for research purpose, ability to research reality on several </w:t>
            </w:r>
            <w:r w:rsidR="000A20F6">
              <w:rPr>
                <w:rFonts w:asciiTheme="minorHAnsi" w:hAnsiTheme="minorHAnsi"/>
              </w:rPr>
              <w:t>different ways, ability to think</w:t>
            </w:r>
            <w:r w:rsidRPr="00914339">
              <w:rPr>
                <w:rFonts w:asciiTheme="minorHAnsi" w:hAnsiTheme="minorHAnsi"/>
              </w:rPr>
              <w:t xml:space="preserve"> and research on system level.</w:t>
            </w:r>
          </w:p>
        </w:tc>
      </w:tr>
      <w:tr w:rsidR="006A37A5" w:rsidRPr="0049183D" w14:paraId="28C61BBA" w14:textId="77777777" w:rsidTr="006A37A5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6A37A5" w:rsidRPr="003F09F5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9A9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Predmet vključuje različne metode poučevanja in učenja, kot so: </w:t>
            </w:r>
          </w:p>
          <w:p w14:paraId="2A339AFB" w14:textId="1DF1DF5B" w:rsidR="006A37A5" w:rsidRPr="006A37A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A37A5">
              <w:rPr>
                <w:rFonts w:asciiTheme="minorHAnsi" w:hAnsiTheme="minorHAnsi"/>
                <w:lang w:eastAsia="sl-SI"/>
              </w:rPr>
              <w:t>predavanja, predstavitve študentov in samostojni študij študentov.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6A37A5" w:rsidRPr="003F09F5" w:rsidRDefault="006A37A5" w:rsidP="006A37A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7A0BAD6D" w:rsidR="006A37A5" w:rsidRPr="003F09F5" w:rsidRDefault="006A37A5" w:rsidP="006A37A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4339">
              <w:rPr>
                <w:rFonts w:asciiTheme="minorHAnsi" w:hAnsiTheme="minorHAnsi"/>
              </w:rPr>
              <w:t>Subject includes different methods of teaching like: lectures, students’ presentation and individual study.</w:t>
            </w:r>
          </w:p>
        </w:tc>
      </w:tr>
      <w:tr w:rsidR="006A37A5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6A37A5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6A37A5" w:rsidRDefault="006A37A5" w:rsidP="006A37A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6A37A5" w:rsidRPr="0049183D" w:rsidRDefault="006A37A5" w:rsidP="006A37A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6A37A5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6A37A5" w:rsidRPr="0049183D" w:rsidRDefault="006A37A5" w:rsidP="006A37A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6A37A5" w:rsidRPr="003F09F5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62A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914339">
              <w:rPr>
                <w:rFonts w:asciiTheme="minorHAnsi" w:hAnsiTheme="minorHAnsi"/>
                <w:lang w:eastAsia="sl-SI"/>
              </w:rPr>
              <w:t xml:space="preserve">Aktivno delo na predavanjih. </w:t>
            </w:r>
          </w:p>
          <w:p w14:paraId="73D37E4C" w14:textId="72D0A501" w:rsidR="006A37A5" w:rsidRPr="006A37A5" w:rsidRDefault="006A37A5" w:rsidP="006A37A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37A5">
              <w:rPr>
                <w:rFonts w:asciiTheme="minorHAnsi" w:hAnsiTheme="minorHAnsi"/>
                <w:lang w:eastAsia="sl-SI"/>
              </w:rPr>
              <w:t>Seminarska naloga.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54E8FD7C" w:rsidR="006A37A5" w:rsidRPr="003F09F5" w:rsidRDefault="006A37A5" w:rsidP="006A37A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</w:t>
            </w:r>
            <w:r w:rsidRPr="003F09F5">
              <w:rPr>
                <w:rFonts w:eastAsia="Calibri" w:cs="Calibri"/>
                <w:lang w:eastAsia="sl-SI"/>
              </w:rPr>
              <w:t>0%</w:t>
            </w:r>
          </w:p>
          <w:p w14:paraId="6252E3BC" w14:textId="3F31962E" w:rsidR="006A37A5" w:rsidRPr="003F09F5" w:rsidRDefault="006A37A5" w:rsidP="006A37A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</w:t>
            </w:r>
            <w:r w:rsidRPr="003F09F5">
              <w:rPr>
                <w:rFonts w:eastAsia="Calibri" w:cs="Calibri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F4D" w14:textId="77777777" w:rsidR="006A37A5" w:rsidRPr="00914339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914339">
              <w:rPr>
                <w:rFonts w:asciiTheme="minorHAnsi" w:hAnsiTheme="minorHAnsi"/>
              </w:rPr>
              <w:t>Active work during lectures.</w:t>
            </w:r>
          </w:p>
          <w:p w14:paraId="20F78515" w14:textId="14037EEA" w:rsidR="006A37A5" w:rsidRPr="006A37A5" w:rsidRDefault="006A37A5" w:rsidP="006A37A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A37A5">
              <w:rPr>
                <w:rFonts w:asciiTheme="minorHAnsi" w:hAnsiTheme="minorHAnsi"/>
              </w:rPr>
              <w:t>Seminar paper.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6A37A5" w:rsidRPr="006A37A5" w14:paraId="11013034" w14:textId="77777777" w:rsidTr="00173F00">
        <w:trPr>
          <w:trHeight w:val="3685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E0C" w14:textId="5EC10BE8" w:rsidR="00BF789E" w:rsidRPr="009F7872" w:rsidRDefault="00BF789E" w:rsidP="00BF789E">
            <w:pPr>
              <w:spacing w:after="0"/>
              <w:ind w:left="357"/>
              <w:jc w:val="both"/>
              <w:rPr>
                <w:rFonts w:cs="Calibri"/>
                <w:i/>
                <w:iCs/>
              </w:rPr>
            </w:pPr>
            <w:r w:rsidRPr="009F7872">
              <w:rPr>
                <w:rFonts w:cs="Calibri"/>
                <w:i/>
                <w:iCs/>
              </w:rPr>
              <w:t>1. ČUČEK, Mateja, MLAKER KAČ, Sonja. Organizational culture in logistics companies and its impact on employee satisfaction. Management, ISSN 1846-3363, 2020, vol. 25, no. 2, str. 165-180, ilustr. https://doi.org/10.30924/mjcmi.25.2.9, doi: 10.30924/mjcmi.25.2.9. [COBISS.SI-ID 44036611], [SNIP, WoS do 15. 1. 2021: št. citatov (TC): 0, čistih citatov (CI): 0, čistih citatov na avtorja (CIAu): 0, Scopus do 29. 10. 2021: št. citatov (TC): 1, čistih citatov (CI): 1, čistih citatov na avtorja (CIAu): 0.50]</w:t>
            </w:r>
            <w:r w:rsidRPr="009F7872">
              <w:rPr>
                <w:rFonts w:cs="Calibri"/>
                <w:i/>
                <w:iCs/>
              </w:rPr>
              <w:br/>
              <w:t>kategorija: 1A3 (Z, A', A1/2); uvrstitev: Scopus (d), MBP; tip dela je verificiral OSICD</w:t>
            </w:r>
            <w:r w:rsidRPr="009F7872">
              <w:rPr>
                <w:rFonts w:cs="Calibri"/>
                <w:i/>
                <w:iCs/>
              </w:rPr>
              <w:br/>
              <w:t>točke: 37.39, št. avtorjev: 2</w:t>
            </w:r>
          </w:p>
          <w:p w14:paraId="65866649" w14:textId="2FB7DE76" w:rsidR="00BF789E" w:rsidRPr="009F7872" w:rsidRDefault="00BF789E" w:rsidP="00BF789E">
            <w:pPr>
              <w:spacing w:after="0"/>
              <w:ind w:left="357"/>
              <w:jc w:val="both"/>
              <w:rPr>
                <w:rFonts w:cs="Calibri"/>
                <w:i/>
                <w:iCs/>
              </w:rPr>
            </w:pPr>
            <w:r w:rsidRPr="009F7872">
              <w:rPr>
                <w:rFonts w:cs="Calibri"/>
                <w:i/>
                <w:iCs/>
              </w:rPr>
              <w:t xml:space="preserve">2. KMETEC, Anja, ROSI, Bojan, MLAKER KAČ, Sonja. The importance of partnerships in supply chains. Management. </w:t>
            </w:r>
            <w:r w:rsidRPr="009F7872">
              <w:rPr>
                <w:rFonts w:cs="Calibri"/>
                <w:b/>
                <w:bCs/>
                <w:i/>
                <w:iCs/>
              </w:rPr>
              <w:t>2019</w:t>
            </w:r>
            <w:r w:rsidRPr="009F7872">
              <w:rPr>
                <w:rFonts w:cs="Calibri"/>
                <w:i/>
                <w:iCs/>
              </w:rPr>
              <w:t>, vol. 24, no. 2, str. 95-106. ISSN 1846-3363. https://doi.org/10.30924/mjcmi.24.2.7, DOI: 10.30924/mjcmi.24.2.7. [COBISS.SI-ID 513055549], [JCR, SNIP] kategorija: 1A2 (Z, A', A1/2); uvrstitev: Scopus (d), MBP; tip dela je verificiral OSICD</w:t>
            </w:r>
          </w:p>
          <w:p w14:paraId="41AC7B40" w14:textId="35BA7B5D" w:rsidR="00BF789E" w:rsidRPr="00BF789E" w:rsidRDefault="00BF789E" w:rsidP="00BF789E">
            <w:pPr>
              <w:spacing w:after="0"/>
              <w:ind w:left="357"/>
              <w:jc w:val="both"/>
              <w:rPr>
                <w:rFonts w:cs="Calibri"/>
                <w:i/>
                <w:iCs/>
                <w:color w:val="4472C4" w:themeColor="accent5"/>
              </w:rPr>
            </w:pPr>
            <w:r w:rsidRPr="009F7872">
              <w:rPr>
                <w:rFonts w:cs="Calibri"/>
                <w:i/>
                <w:iCs/>
              </w:rPr>
              <w:t xml:space="preserve">3. MLAKER KAČ, Sonja, TOMŠE, Tajana, GORENAK, Irena. Intercultural education and training of Slovene police officers for the purpose of international missions. V: POTOČAN, Vojko (ur.), UNGAN, Mustafa (ur.), NEDELKO, Zlatko (ur.). Handbook of research on managerial solutions in non-profit organizations, (Advances in public policy and administration (Print)). Hershey: IGI Global. cop. </w:t>
            </w:r>
            <w:r w:rsidRPr="009F7872">
              <w:rPr>
                <w:rFonts w:cs="Calibri"/>
                <w:b/>
                <w:bCs/>
                <w:i/>
                <w:iCs/>
              </w:rPr>
              <w:t>2017</w:t>
            </w:r>
            <w:r w:rsidRPr="009F7872">
              <w:rPr>
                <w:rFonts w:cs="Calibri"/>
                <w:i/>
                <w:iCs/>
              </w:rPr>
              <w:t>, str. 298-320, ilustr. http://www.igi-global. com/chapter/intercultural-education-and-training-of-slovene-police-officers-for-the-purpose-of-international-missions/163760, doi: 10.4018/978-1-5225-0731-4.ch014. [COBISS.SI-ID 512829757], [Scopus do 4. 3. 2017: št. citatov (TC): 0, čistih citatov (CI): 0, čistih citatov na avtorja (CIAu): 0]kategorija: 3B (Z, A1/2); tip dela je verificiral OSICD</w:t>
            </w:r>
          </w:p>
        </w:tc>
      </w:tr>
    </w:tbl>
    <w:p w14:paraId="01D00855" w14:textId="77777777" w:rsidR="00F57C69" w:rsidRPr="00F57C69" w:rsidRDefault="00F57C69" w:rsidP="006A37A5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F715" w14:textId="77777777" w:rsidR="00A40BA5" w:rsidRDefault="00A40BA5" w:rsidP="00703ADE">
      <w:pPr>
        <w:spacing w:after="0"/>
      </w:pPr>
      <w:r>
        <w:separator/>
      </w:r>
    </w:p>
  </w:endnote>
  <w:endnote w:type="continuationSeparator" w:id="0">
    <w:p w14:paraId="1EFA4EEC" w14:textId="77777777" w:rsidR="00A40BA5" w:rsidRDefault="00A40BA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7931B12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F789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F789E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AADB" w14:textId="77777777" w:rsidR="00A40BA5" w:rsidRDefault="00A40BA5" w:rsidP="00703ADE">
      <w:pPr>
        <w:spacing w:after="0"/>
      </w:pPr>
      <w:r>
        <w:separator/>
      </w:r>
    </w:p>
  </w:footnote>
  <w:footnote w:type="continuationSeparator" w:id="0">
    <w:p w14:paraId="78BF0BF7" w14:textId="77777777" w:rsidR="00A40BA5" w:rsidRDefault="00A40BA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DF2DDE"/>
    <w:multiLevelType w:val="hybridMultilevel"/>
    <w:tmpl w:val="F4DAFB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C28F7"/>
    <w:multiLevelType w:val="hybridMultilevel"/>
    <w:tmpl w:val="28023E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74D"/>
    <w:multiLevelType w:val="hybridMultilevel"/>
    <w:tmpl w:val="6430F45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77248"/>
    <w:multiLevelType w:val="hybridMultilevel"/>
    <w:tmpl w:val="9E361C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3044C2"/>
    <w:multiLevelType w:val="hybridMultilevel"/>
    <w:tmpl w:val="3B382F2E"/>
    <w:lvl w:ilvl="0" w:tplc="67CA29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D1BDB"/>
    <w:multiLevelType w:val="hybridMultilevel"/>
    <w:tmpl w:val="C3F8B8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FC46DA"/>
    <w:multiLevelType w:val="hybridMultilevel"/>
    <w:tmpl w:val="CBECB6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45ACD"/>
    <w:multiLevelType w:val="hybridMultilevel"/>
    <w:tmpl w:val="A9CEF6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  <w:num w:numId="14">
    <w:abstractNumId w:val="1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C0sDAyMzKxNDJX0lEKTi0uzszPAykwrAUA+qK/tCwAAAA="/>
  </w:docVars>
  <w:rsids>
    <w:rsidRoot w:val="00703ADE"/>
    <w:rsid w:val="00046B40"/>
    <w:rsid w:val="000511DA"/>
    <w:rsid w:val="00053C25"/>
    <w:rsid w:val="000625CC"/>
    <w:rsid w:val="00067866"/>
    <w:rsid w:val="000761B7"/>
    <w:rsid w:val="00082E2A"/>
    <w:rsid w:val="0009073D"/>
    <w:rsid w:val="00093EE6"/>
    <w:rsid w:val="0009622F"/>
    <w:rsid w:val="0009636B"/>
    <w:rsid w:val="000A19DD"/>
    <w:rsid w:val="000A20F6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3F00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233D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649A2"/>
    <w:rsid w:val="00273DDF"/>
    <w:rsid w:val="00276596"/>
    <w:rsid w:val="0027778B"/>
    <w:rsid w:val="002805E7"/>
    <w:rsid w:val="0028075A"/>
    <w:rsid w:val="00287663"/>
    <w:rsid w:val="00292898"/>
    <w:rsid w:val="002B1484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2D23"/>
    <w:rsid w:val="00344834"/>
    <w:rsid w:val="003463F9"/>
    <w:rsid w:val="00355781"/>
    <w:rsid w:val="00357EAB"/>
    <w:rsid w:val="00360075"/>
    <w:rsid w:val="00360354"/>
    <w:rsid w:val="00361208"/>
    <w:rsid w:val="0036175E"/>
    <w:rsid w:val="00366CA4"/>
    <w:rsid w:val="00377D01"/>
    <w:rsid w:val="00382794"/>
    <w:rsid w:val="003874C0"/>
    <w:rsid w:val="003B1590"/>
    <w:rsid w:val="003B7EBC"/>
    <w:rsid w:val="003C33A1"/>
    <w:rsid w:val="003C3F1B"/>
    <w:rsid w:val="003C437B"/>
    <w:rsid w:val="003C5A56"/>
    <w:rsid w:val="003C61AC"/>
    <w:rsid w:val="003D3C7B"/>
    <w:rsid w:val="003D4355"/>
    <w:rsid w:val="003D6370"/>
    <w:rsid w:val="003F09F5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536BC"/>
    <w:rsid w:val="00563340"/>
    <w:rsid w:val="00565784"/>
    <w:rsid w:val="005701F4"/>
    <w:rsid w:val="00570601"/>
    <w:rsid w:val="0057190E"/>
    <w:rsid w:val="005745BC"/>
    <w:rsid w:val="00581E1B"/>
    <w:rsid w:val="00587381"/>
    <w:rsid w:val="005A013D"/>
    <w:rsid w:val="005A11E4"/>
    <w:rsid w:val="005A5638"/>
    <w:rsid w:val="005A7A79"/>
    <w:rsid w:val="005B6E23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310FA"/>
    <w:rsid w:val="00645458"/>
    <w:rsid w:val="00652092"/>
    <w:rsid w:val="00654BA3"/>
    <w:rsid w:val="006644FF"/>
    <w:rsid w:val="0066486D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A37A5"/>
    <w:rsid w:val="006B1FA4"/>
    <w:rsid w:val="006B5AC7"/>
    <w:rsid w:val="006C1ED6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21B4F"/>
    <w:rsid w:val="008320B1"/>
    <w:rsid w:val="00847982"/>
    <w:rsid w:val="00855585"/>
    <w:rsid w:val="00863826"/>
    <w:rsid w:val="00864972"/>
    <w:rsid w:val="00873A16"/>
    <w:rsid w:val="00873F0D"/>
    <w:rsid w:val="00874CA5"/>
    <w:rsid w:val="00897C0D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16F64"/>
    <w:rsid w:val="009222E8"/>
    <w:rsid w:val="009322AD"/>
    <w:rsid w:val="0093739C"/>
    <w:rsid w:val="009377F1"/>
    <w:rsid w:val="00957F7A"/>
    <w:rsid w:val="00961B35"/>
    <w:rsid w:val="00961C9A"/>
    <w:rsid w:val="0096279B"/>
    <w:rsid w:val="009737D7"/>
    <w:rsid w:val="00990E29"/>
    <w:rsid w:val="00991CF4"/>
    <w:rsid w:val="00993412"/>
    <w:rsid w:val="009958CA"/>
    <w:rsid w:val="00997A15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9F7872"/>
    <w:rsid w:val="00A000D4"/>
    <w:rsid w:val="00A019CC"/>
    <w:rsid w:val="00A0202D"/>
    <w:rsid w:val="00A13321"/>
    <w:rsid w:val="00A25CCF"/>
    <w:rsid w:val="00A340FC"/>
    <w:rsid w:val="00A40BA5"/>
    <w:rsid w:val="00A47212"/>
    <w:rsid w:val="00A52D9A"/>
    <w:rsid w:val="00A5557A"/>
    <w:rsid w:val="00A56956"/>
    <w:rsid w:val="00A604B1"/>
    <w:rsid w:val="00A62D57"/>
    <w:rsid w:val="00A722F0"/>
    <w:rsid w:val="00A77894"/>
    <w:rsid w:val="00A80531"/>
    <w:rsid w:val="00A81452"/>
    <w:rsid w:val="00A87467"/>
    <w:rsid w:val="00A87ADF"/>
    <w:rsid w:val="00A87CC4"/>
    <w:rsid w:val="00AB5F3C"/>
    <w:rsid w:val="00AC243A"/>
    <w:rsid w:val="00AC50D7"/>
    <w:rsid w:val="00AC5393"/>
    <w:rsid w:val="00AC7DE5"/>
    <w:rsid w:val="00AF382F"/>
    <w:rsid w:val="00B01725"/>
    <w:rsid w:val="00B05658"/>
    <w:rsid w:val="00B07275"/>
    <w:rsid w:val="00B07A68"/>
    <w:rsid w:val="00B32886"/>
    <w:rsid w:val="00B41318"/>
    <w:rsid w:val="00B41FC2"/>
    <w:rsid w:val="00B44133"/>
    <w:rsid w:val="00B63E7C"/>
    <w:rsid w:val="00B70B70"/>
    <w:rsid w:val="00B733D9"/>
    <w:rsid w:val="00B850FA"/>
    <w:rsid w:val="00BA6A5B"/>
    <w:rsid w:val="00BB0F97"/>
    <w:rsid w:val="00BB4A79"/>
    <w:rsid w:val="00BC03C6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89E"/>
    <w:rsid w:val="00BF7B2D"/>
    <w:rsid w:val="00C00926"/>
    <w:rsid w:val="00C06952"/>
    <w:rsid w:val="00C20ECB"/>
    <w:rsid w:val="00C22E86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D5B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2930"/>
    <w:rsid w:val="00CF4AB7"/>
    <w:rsid w:val="00CF7D8F"/>
    <w:rsid w:val="00D023A0"/>
    <w:rsid w:val="00D04A41"/>
    <w:rsid w:val="00D07034"/>
    <w:rsid w:val="00D1099E"/>
    <w:rsid w:val="00D12BC2"/>
    <w:rsid w:val="00D176A8"/>
    <w:rsid w:val="00D17CFB"/>
    <w:rsid w:val="00D216BD"/>
    <w:rsid w:val="00D36EFF"/>
    <w:rsid w:val="00D37BD3"/>
    <w:rsid w:val="00D4141E"/>
    <w:rsid w:val="00D434A7"/>
    <w:rsid w:val="00D56DEF"/>
    <w:rsid w:val="00D614E1"/>
    <w:rsid w:val="00D634CF"/>
    <w:rsid w:val="00D656E4"/>
    <w:rsid w:val="00D732C6"/>
    <w:rsid w:val="00D822FB"/>
    <w:rsid w:val="00D943E4"/>
    <w:rsid w:val="00D94920"/>
    <w:rsid w:val="00DB42A6"/>
    <w:rsid w:val="00DC294C"/>
    <w:rsid w:val="00DC4175"/>
    <w:rsid w:val="00DD03F7"/>
    <w:rsid w:val="00DD2CB6"/>
    <w:rsid w:val="00DF0B31"/>
    <w:rsid w:val="00DF39C7"/>
    <w:rsid w:val="00E01016"/>
    <w:rsid w:val="00E03C39"/>
    <w:rsid w:val="00E12B7D"/>
    <w:rsid w:val="00E24F2B"/>
    <w:rsid w:val="00E26379"/>
    <w:rsid w:val="00E32D7E"/>
    <w:rsid w:val="00E3517F"/>
    <w:rsid w:val="00E4033D"/>
    <w:rsid w:val="00E61420"/>
    <w:rsid w:val="00E61E60"/>
    <w:rsid w:val="00E65B79"/>
    <w:rsid w:val="00E6704B"/>
    <w:rsid w:val="00E70B31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E3E7F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1D69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1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2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3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4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5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6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7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8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shorttext">
    <w:name w:val="short_text"/>
    <w:basedOn w:val="Privzetapisavaodstavka"/>
    <w:rsid w:val="0091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2025-01-21T14:53:00Z</dcterms:created>
  <dcterms:modified xsi:type="dcterms:W3CDTF">2025-01-21T14:54:00Z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30825c5d3640415f1bc3656e2859eba76ef55b1ee4e9b4647cb29adf3b2f0375</vt:lpwstr>
  </property>
</Properties>
</file>