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713"/>
        <w:gridCol w:w="218"/>
        <w:gridCol w:w="481"/>
        <w:gridCol w:w="9"/>
        <w:gridCol w:w="143"/>
        <w:gridCol w:w="709"/>
        <w:gridCol w:w="76"/>
        <w:gridCol w:w="62"/>
        <w:gridCol w:w="990"/>
        <w:gridCol w:w="365"/>
        <w:gridCol w:w="1193"/>
        <w:gridCol w:w="224"/>
        <w:gridCol w:w="132"/>
        <w:gridCol w:w="1070"/>
      </w:tblGrid>
      <w:tr w:rsidR="005A11E4" w:rsidRPr="0049183D" w14:paraId="605D34DD" w14:textId="77777777" w:rsidTr="0B44B878">
        <w:tc>
          <w:tcPr>
            <w:tcW w:w="9690" w:type="dxa"/>
            <w:gridSpan w:val="19"/>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F5B62" w:rsidRDefault="005A11E4" w:rsidP="004A33B9">
            <w:pPr>
              <w:jc w:val="center"/>
              <w:rPr>
                <w:rFonts w:eastAsia="Calibri" w:cs="Calibri"/>
                <w:b/>
                <w:lang w:eastAsia="sl-SI"/>
              </w:rPr>
            </w:pPr>
            <w:r w:rsidRPr="004F5B62">
              <w:rPr>
                <w:rFonts w:eastAsia="Calibri" w:cs="Calibri"/>
                <w:b/>
                <w:lang w:eastAsia="sl-SI"/>
              </w:rPr>
              <w:t xml:space="preserve">UČNI NAČRT </w:t>
            </w:r>
            <w:r w:rsidR="00F4075A" w:rsidRPr="004F5B62">
              <w:rPr>
                <w:rFonts w:eastAsia="Calibri" w:cs="Calibri"/>
                <w:b/>
                <w:lang w:eastAsia="sl-SI"/>
              </w:rPr>
              <w:t>PREDMETA</w:t>
            </w:r>
            <w:r w:rsidRPr="004F5B62">
              <w:rPr>
                <w:rFonts w:eastAsia="Calibri" w:cs="Calibri"/>
                <w:b/>
                <w:lang w:eastAsia="sl-SI"/>
              </w:rPr>
              <w:t xml:space="preserve"> / </w:t>
            </w:r>
            <w:r w:rsidR="004A33B9" w:rsidRPr="004F5B62">
              <w:rPr>
                <w:rFonts w:eastAsia="Calibri" w:cs="Calibri"/>
                <w:b/>
                <w:lang w:eastAsia="sl-SI"/>
              </w:rPr>
              <w:t>COURSE SYLLABUS</w:t>
            </w:r>
          </w:p>
        </w:tc>
      </w:tr>
      <w:tr w:rsidR="00E638E3" w:rsidRPr="0049183D" w14:paraId="36413FBF" w14:textId="77777777" w:rsidTr="0B44B878">
        <w:tc>
          <w:tcPr>
            <w:tcW w:w="1797" w:type="dxa"/>
            <w:gridSpan w:val="2"/>
          </w:tcPr>
          <w:p w14:paraId="72C1DC59" w14:textId="77777777" w:rsidR="00E638E3" w:rsidRPr="004F5B62" w:rsidRDefault="00E638E3" w:rsidP="00E638E3">
            <w:pPr>
              <w:rPr>
                <w:rFonts w:eastAsia="Calibri" w:cs="Calibri"/>
                <w:b/>
                <w:lang w:eastAsia="sl-SI"/>
              </w:rPr>
            </w:pPr>
            <w:r w:rsidRPr="004F5B62">
              <w:rPr>
                <w:rFonts w:eastAsia="Calibri" w:cs="Calibri"/>
                <w:b/>
                <w:lang w:eastAsia="sl-SI"/>
              </w:rPr>
              <w:t>Ime predmeta:</w:t>
            </w:r>
          </w:p>
        </w:tc>
        <w:tc>
          <w:tcPr>
            <w:tcW w:w="7893" w:type="dxa"/>
            <w:gridSpan w:val="17"/>
            <w:tcBorders>
              <w:top w:val="single" w:sz="4" w:space="0" w:color="auto"/>
              <w:left w:val="single" w:sz="4" w:space="0" w:color="auto"/>
              <w:bottom w:val="single" w:sz="4" w:space="0" w:color="auto"/>
              <w:right w:val="single" w:sz="4" w:space="0" w:color="auto"/>
            </w:tcBorders>
          </w:tcPr>
          <w:p w14:paraId="122F28E9" w14:textId="1E0F8001" w:rsidR="00E638E3" w:rsidRPr="00C16CC3" w:rsidRDefault="00E638E3" w:rsidP="1101E3E9">
            <w:pPr>
              <w:rPr>
                <w:rFonts w:asciiTheme="minorHAnsi" w:hAnsiTheme="minorHAnsi" w:cs="Calibri"/>
                <w:sz w:val="22"/>
                <w:szCs w:val="22"/>
                <w:lang w:eastAsia="sl-SI"/>
              </w:rPr>
            </w:pPr>
            <w:r w:rsidRPr="00C16CC3">
              <w:rPr>
                <w:rFonts w:asciiTheme="minorHAnsi" w:hAnsiTheme="minorHAnsi" w:cs="Calibri"/>
                <w:sz w:val="22"/>
                <w:szCs w:val="22"/>
              </w:rPr>
              <w:t xml:space="preserve">MANAGEMENT </w:t>
            </w:r>
            <w:r w:rsidR="7B621969" w:rsidRPr="00C16CC3">
              <w:rPr>
                <w:rFonts w:asciiTheme="minorHAnsi" w:hAnsiTheme="minorHAnsi" w:cs="Calibri"/>
                <w:sz w:val="22"/>
                <w:szCs w:val="22"/>
              </w:rPr>
              <w:t xml:space="preserve">IN PODJETNIŠTVO V </w:t>
            </w:r>
            <w:r w:rsidRPr="00C16CC3">
              <w:rPr>
                <w:rFonts w:asciiTheme="minorHAnsi" w:hAnsiTheme="minorHAnsi" w:cs="Calibri"/>
                <w:sz w:val="22"/>
                <w:szCs w:val="22"/>
              </w:rPr>
              <w:t>TRAJNOSTNIH OSKRBOVALNIH VERIG</w:t>
            </w:r>
            <w:r w:rsidR="251E39B8" w:rsidRPr="00C16CC3">
              <w:rPr>
                <w:rFonts w:asciiTheme="minorHAnsi" w:hAnsiTheme="minorHAnsi" w:cs="Calibri"/>
                <w:sz w:val="22"/>
                <w:szCs w:val="22"/>
              </w:rPr>
              <w:t>AH</w:t>
            </w:r>
          </w:p>
        </w:tc>
      </w:tr>
      <w:tr w:rsidR="00E638E3" w:rsidRPr="0049183D" w14:paraId="12BB578E" w14:textId="77777777" w:rsidTr="0B44B878">
        <w:tc>
          <w:tcPr>
            <w:tcW w:w="1797" w:type="dxa"/>
            <w:gridSpan w:val="2"/>
          </w:tcPr>
          <w:p w14:paraId="003758B5" w14:textId="77777777" w:rsidR="00E638E3" w:rsidRPr="004F5B62" w:rsidRDefault="00E638E3" w:rsidP="00E638E3">
            <w:pPr>
              <w:rPr>
                <w:rFonts w:eastAsia="Calibri" w:cs="Calibri"/>
                <w:b/>
                <w:lang w:eastAsia="sl-SI"/>
              </w:rPr>
            </w:pPr>
            <w:r w:rsidRPr="004F5B62">
              <w:rPr>
                <w:rFonts w:eastAsia="Calibri" w:cs="Calibri"/>
                <w:b/>
                <w:lang w:eastAsia="sl-SI"/>
              </w:rPr>
              <w:t>Course title:</w:t>
            </w:r>
          </w:p>
        </w:tc>
        <w:tc>
          <w:tcPr>
            <w:tcW w:w="7893" w:type="dxa"/>
            <w:gridSpan w:val="17"/>
            <w:tcBorders>
              <w:top w:val="single" w:sz="4" w:space="0" w:color="auto"/>
              <w:left w:val="single" w:sz="4" w:space="0" w:color="auto"/>
              <w:bottom w:val="single" w:sz="4" w:space="0" w:color="auto"/>
              <w:right w:val="single" w:sz="4" w:space="0" w:color="auto"/>
            </w:tcBorders>
          </w:tcPr>
          <w:p w14:paraId="6652D4D2" w14:textId="7FE6D36F" w:rsidR="00E638E3" w:rsidRPr="00C16CC3" w:rsidRDefault="00E638E3" w:rsidP="1101E3E9">
            <w:pPr>
              <w:rPr>
                <w:rFonts w:eastAsia="Calibri" w:cs="Arial"/>
                <w:b/>
                <w:bCs/>
                <w:sz w:val="22"/>
                <w:szCs w:val="22"/>
                <w:lang w:eastAsia="sl-SI"/>
              </w:rPr>
            </w:pPr>
            <w:r w:rsidRPr="00C16CC3">
              <w:rPr>
                <w:rFonts w:asciiTheme="minorHAnsi" w:hAnsiTheme="minorHAnsi" w:cs="Calibri"/>
                <w:sz w:val="22"/>
                <w:szCs w:val="22"/>
              </w:rPr>
              <w:t xml:space="preserve">MANAGEMENT  </w:t>
            </w:r>
            <w:r w:rsidR="55448387" w:rsidRPr="00C16CC3">
              <w:rPr>
                <w:rFonts w:asciiTheme="minorHAnsi" w:hAnsiTheme="minorHAnsi" w:cs="Calibri"/>
                <w:sz w:val="22"/>
                <w:szCs w:val="22"/>
              </w:rPr>
              <w:t xml:space="preserve">AND ENTREPRENEURSHIP IN </w:t>
            </w:r>
            <w:r w:rsidRPr="00C16CC3">
              <w:rPr>
                <w:rFonts w:asciiTheme="minorHAnsi" w:hAnsiTheme="minorHAnsi" w:cs="Calibri"/>
                <w:sz w:val="22"/>
                <w:szCs w:val="22"/>
              </w:rPr>
              <w:t>SUSTAINABLE SUPPLY CHAIN</w:t>
            </w:r>
            <w:r w:rsidR="02377878" w:rsidRPr="00C16CC3">
              <w:rPr>
                <w:rFonts w:asciiTheme="minorHAnsi" w:hAnsiTheme="minorHAnsi" w:cs="Calibri"/>
                <w:sz w:val="22"/>
                <w:szCs w:val="22"/>
              </w:rPr>
              <w:t>S</w:t>
            </w:r>
          </w:p>
        </w:tc>
      </w:tr>
      <w:tr w:rsidR="005A11E4" w:rsidRPr="0049183D" w14:paraId="0BB44B80" w14:textId="77777777" w:rsidTr="0B44B878">
        <w:tc>
          <w:tcPr>
            <w:tcW w:w="3305" w:type="dxa"/>
            <w:gridSpan w:val="5"/>
            <w:vAlign w:val="center"/>
          </w:tcPr>
          <w:p w14:paraId="381AAD97" w14:textId="77777777" w:rsidR="005A11E4" w:rsidRPr="004F5B62" w:rsidRDefault="005A11E4" w:rsidP="00B71733">
            <w:pPr>
              <w:jc w:val="center"/>
              <w:rPr>
                <w:rFonts w:eastAsia="Calibri" w:cs="Calibri"/>
                <w:b/>
                <w:lang w:eastAsia="sl-SI"/>
              </w:rPr>
            </w:pPr>
          </w:p>
        </w:tc>
        <w:tc>
          <w:tcPr>
            <w:tcW w:w="3401" w:type="dxa"/>
            <w:gridSpan w:val="9"/>
            <w:vAlign w:val="center"/>
          </w:tcPr>
          <w:p w14:paraId="72824CE0" w14:textId="77777777" w:rsidR="005A11E4" w:rsidRPr="004F5B62" w:rsidRDefault="005A11E4" w:rsidP="00B71733">
            <w:pPr>
              <w:jc w:val="center"/>
              <w:rPr>
                <w:rFonts w:eastAsia="Calibri" w:cs="Calibri"/>
                <w:b/>
                <w:lang w:eastAsia="sl-SI"/>
              </w:rPr>
            </w:pPr>
          </w:p>
        </w:tc>
        <w:tc>
          <w:tcPr>
            <w:tcW w:w="1558" w:type="dxa"/>
            <w:gridSpan w:val="2"/>
            <w:vAlign w:val="center"/>
          </w:tcPr>
          <w:p w14:paraId="0BCC111C" w14:textId="77777777" w:rsidR="005A11E4" w:rsidRPr="004F5B62" w:rsidRDefault="005A11E4" w:rsidP="00B71733">
            <w:pPr>
              <w:jc w:val="center"/>
              <w:rPr>
                <w:rFonts w:eastAsia="Calibri" w:cs="Calibri"/>
                <w:b/>
                <w:lang w:eastAsia="sl-SI"/>
              </w:rPr>
            </w:pPr>
          </w:p>
        </w:tc>
        <w:tc>
          <w:tcPr>
            <w:tcW w:w="1426" w:type="dxa"/>
            <w:gridSpan w:val="3"/>
            <w:vAlign w:val="center"/>
          </w:tcPr>
          <w:p w14:paraId="2EB909A8" w14:textId="77777777" w:rsidR="005A11E4" w:rsidRPr="004F5B62" w:rsidRDefault="005A11E4" w:rsidP="00B71733">
            <w:pPr>
              <w:jc w:val="center"/>
              <w:rPr>
                <w:rFonts w:eastAsia="Calibri" w:cs="Calibri"/>
                <w:b/>
                <w:lang w:eastAsia="sl-SI"/>
              </w:rPr>
            </w:pPr>
          </w:p>
        </w:tc>
      </w:tr>
      <w:tr w:rsidR="005A11E4" w:rsidRPr="0049183D" w14:paraId="5EC26D3D" w14:textId="77777777" w:rsidTr="0B44B878">
        <w:tc>
          <w:tcPr>
            <w:tcW w:w="3305" w:type="dxa"/>
            <w:gridSpan w:val="5"/>
            <w:tcBorders>
              <w:top w:val="nil"/>
              <w:left w:val="nil"/>
              <w:bottom w:val="single" w:sz="4" w:space="0" w:color="auto"/>
              <w:right w:val="nil"/>
            </w:tcBorders>
            <w:vAlign w:val="center"/>
          </w:tcPr>
          <w:p w14:paraId="1EC11C55" w14:textId="77777777" w:rsidR="005A11E4" w:rsidRPr="004F5B62" w:rsidRDefault="005A11E4" w:rsidP="00B71733">
            <w:pPr>
              <w:jc w:val="center"/>
              <w:rPr>
                <w:rFonts w:eastAsia="Calibri" w:cs="Calibri"/>
                <w:b/>
                <w:lang w:eastAsia="sl-SI"/>
              </w:rPr>
            </w:pPr>
            <w:r w:rsidRPr="004F5B62">
              <w:rPr>
                <w:rFonts w:eastAsia="Calibri" w:cs="Calibri"/>
                <w:b/>
                <w:lang w:eastAsia="sl-SI"/>
              </w:rPr>
              <w:t>Študijski program in stopnja</w:t>
            </w:r>
          </w:p>
          <w:p w14:paraId="7168B082" w14:textId="77777777" w:rsidR="005A11E4" w:rsidRPr="004F5B62" w:rsidRDefault="005A11E4" w:rsidP="00B71733">
            <w:pPr>
              <w:jc w:val="center"/>
              <w:rPr>
                <w:rFonts w:eastAsia="Calibri" w:cs="Calibri"/>
                <w:lang w:eastAsia="sl-SI"/>
              </w:rPr>
            </w:pPr>
            <w:r w:rsidRPr="004F5B62">
              <w:rPr>
                <w:rFonts w:eastAsia="Calibri" w:cs="Calibri"/>
                <w:b/>
                <w:lang w:eastAsia="sl-SI"/>
              </w:rPr>
              <w:t>Study programme and cycle</w:t>
            </w:r>
          </w:p>
        </w:tc>
        <w:tc>
          <w:tcPr>
            <w:tcW w:w="3401" w:type="dxa"/>
            <w:gridSpan w:val="9"/>
            <w:tcBorders>
              <w:top w:val="nil"/>
              <w:left w:val="nil"/>
              <w:bottom w:val="single" w:sz="4" w:space="0" w:color="auto"/>
              <w:right w:val="nil"/>
            </w:tcBorders>
            <w:vAlign w:val="center"/>
          </w:tcPr>
          <w:p w14:paraId="58485DF1" w14:textId="77777777" w:rsidR="005A11E4" w:rsidRPr="004F5B62" w:rsidRDefault="005A11E4" w:rsidP="00B71733">
            <w:pPr>
              <w:jc w:val="center"/>
              <w:rPr>
                <w:rFonts w:eastAsia="Calibri" w:cs="Calibri"/>
                <w:b/>
                <w:lang w:eastAsia="sl-SI"/>
              </w:rPr>
            </w:pPr>
            <w:r w:rsidRPr="004F5B62">
              <w:rPr>
                <w:rFonts w:eastAsia="Calibri" w:cs="Calibri"/>
                <w:b/>
                <w:lang w:eastAsia="sl-SI"/>
              </w:rPr>
              <w:t>Študijska smer</w:t>
            </w:r>
          </w:p>
          <w:p w14:paraId="6B48C3FC" w14:textId="77777777" w:rsidR="005A11E4" w:rsidRPr="004F5B62" w:rsidRDefault="005A11E4" w:rsidP="00B71733">
            <w:pPr>
              <w:jc w:val="center"/>
              <w:rPr>
                <w:rFonts w:eastAsia="Calibri" w:cs="Calibri"/>
                <w:b/>
                <w:lang w:eastAsia="sl-SI"/>
              </w:rPr>
            </w:pPr>
            <w:r w:rsidRPr="004F5B62">
              <w:rPr>
                <w:rFonts w:eastAsia="Calibri" w:cs="Calibri"/>
                <w:b/>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4F5B62" w:rsidRDefault="005A11E4" w:rsidP="00B71733">
            <w:pPr>
              <w:jc w:val="center"/>
              <w:rPr>
                <w:rFonts w:eastAsia="Calibri" w:cs="Calibri"/>
                <w:b/>
                <w:lang w:eastAsia="sl-SI"/>
              </w:rPr>
            </w:pPr>
            <w:r w:rsidRPr="004F5B62">
              <w:rPr>
                <w:rFonts w:eastAsia="Calibri" w:cs="Calibri"/>
                <w:b/>
                <w:lang w:eastAsia="sl-SI"/>
              </w:rPr>
              <w:t>Letnik</w:t>
            </w:r>
          </w:p>
          <w:p w14:paraId="73CD4A4A" w14:textId="77777777" w:rsidR="005A11E4" w:rsidRPr="004F5B62" w:rsidRDefault="005A11E4" w:rsidP="00B71733">
            <w:pPr>
              <w:jc w:val="center"/>
              <w:rPr>
                <w:rFonts w:eastAsia="Calibri" w:cs="Calibri"/>
                <w:b/>
                <w:lang w:eastAsia="sl-SI"/>
              </w:rPr>
            </w:pPr>
            <w:r w:rsidRPr="004F5B62">
              <w:rPr>
                <w:rFonts w:eastAsia="Calibri" w:cs="Calibri"/>
                <w:b/>
                <w:lang w:eastAsia="sl-SI"/>
              </w:rPr>
              <w:t>Year of study</w:t>
            </w:r>
          </w:p>
        </w:tc>
        <w:tc>
          <w:tcPr>
            <w:tcW w:w="1426" w:type="dxa"/>
            <w:gridSpan w:val="3"/>
            <w:tcBorders>
              <w:top w:val="nil"/>
              <w:left w:val="nil"/>
              <w:bottom w:val="single" w:sz="4" w:space="0" w:color="auto"/>
              <w:right w:val="nil"/>
            </w:tcBorders>
            <w:vAlign w:val="center"/>
          </w:tcPr>
          <w:p w14:paraId="25A7E708" w14:textId="77777777" w:rsidR="005A11E4" w:rsidRPr="004F5B62" w:rsidRDefault="005A11E4" w:rsidP="00B71733">
            <w:pPr>
              <w:jc w:val="center"/>
              <w:rPr>
                <w:rFonts w:eastAsia="Calibri" w:cs="Calibri"/>
                <w:b/>
                <w:lang w:eastAsia="sl-SI"/>
              </w:rPr>
            </w:pPr>
            <w:r w:rsidRPr="004F5B62">
              <w:rPr>
                <w:rFonts w:eastAsia="Calibri" w:cs="Calibri"/>
                <w:b/>
                <w:lang w:eastAsia="sl-SI"/>
              </w:rPr>
              <w:t>Semester</w:t>
            </w:r>
          </w:p>
          <w:p w14:paraId="3556D1FB" w14:textId="77777777" w:rsidR="005A11E4" w:rsidRPr="004F5B62" w:rsidRDefault="005A11E4" w:rsidP="00B71733">
            <w:pPr>
              <w:jc w:val="center"/>
              <w:rPr>
                <w:rFonts w:eastAsia="Calibri" w:cs="Calibri"/>
                <w:b/>
                <w:lang w:eastAsia="sl-SI"/>
              </w:rPr>
            </w:pPr>
            <w:r w:rsidRPr="004F5B62">
              <w:rPr>
                <w:rFonts w:eastAsia="Calibri" w:cs="Calibri"/>
                <w:b/>
                <w:lang w:eastAsia="sl-SI"/>
              </w:rPr>
              <w:t>Semester</w:t>
            </w:r>
          </w:p>
        </w:tc>
      </w:tr>
      <w:tr w:rsidR="00B1469E" w:rsidRPr="0049183D" w14:paraId="23FFFBED" w14:textId="77777777" w:rsidTr="0B44B87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37ED6F80" w:rsidR="00B1469E" w:rsidRPr="004F5B62" w:rsidRDefault="00B1469E" w:rsidP="00B1469E">
            <w:pPr>
              <w:jc w:val="center"/>
              <w:rPr>
                <w:rFonts w:eastAsia="Calibri" w:cs="Calibri"/>
                <w:b/>
                <w:bCs/>
                <w:lang w:eastAsia="sl-SI"/>
              </w:rPr>
            </w:pPr>
            <w:r w:rsidRPr="004F5B62">
              <w:rPr>
                <w:rFonts w:asciiTheme="minorHAnsi" w:hAnsiTheme="minorHAnsi"/>
                <w:bCs/>
              </w:rPr>
              <w:t>LOGISTIKA SISTEMOV 1. stopnja</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B1469E" w:rsidRPr="004F5B62" w:rsidRDefault="00B1469E" w:rsidP="00B1469E">
            <w:pPr>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0F8FB490" w:rsidR="00B1469E" w:rsidRPr="004F5B62" w:rsidRDefault="006A772B" w:rsidP="00B1469E">
            <w:pPr>
              <w:jc w:val="center"/>
              <w:rPr>
                <w:rFonts w:eastAsia="Calibri" w:cs="Calibri"/>
                <w:b/>
                <w:bCs/>
                <w:lang w:eastAsia="sl-SI"/>
              </w:rPr>
            </w:pPr>
            <w:r w:rsidRPr="004F5B62">
              <w:rPr>
                <w:rFonts w:asciiTheme="minorHAnsi" w:hAnsiTheme="minorHAnsi"/>
                <w:bCs/>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764DDC0E" w14:textId="278E0551" w:rsidR="00B1469E" w:rsidRPr="004F5B62" w:rsidRDefault="4132D4C6" w:rsidP="00B1469E">
            <w:pPr>
              <w:jc w:val="center"/>
              <w:rPr>
                <w:rFonts w:eastAsia="Calibri" w:cs="Calibri"/>
                <w:b/>
                <w:bCs/>
                <w:lang w:eastAsia="sl-SI"/>
              </w:rPr>
            </w:pPr>
            <w:r w:rsidRPr="004F5B62">
              <w:rPr>
                <w:rFonts w:asciiTheme="minorHAnsi" w:hAnsiTheme="minorHAnsi"/>
              </w:rPr>
              <w:t>4</w:t>
            </w:r>
            <w:r w:rsidR="300F2F98" w:rsidRPr="004F5B62">
              <w:rPr>
                <w:rFonts w:asciiTheme="minorHAnsi" w:hAnsiTheme="minorHAnsi"/>
              </w:rPr>
              <w:t>.</w:t>
            </w:r>
          </w:p>
        </w:tc>
      </w:tr>
      <w:tr w:rsidR="00B1469E" w:rsidRPr="0049183D" w14:paraId="4AE235F2" w14:textId="77777777" w:rsidTr="0B44B878">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AD00B68" w:rsidR="00B1469E" w:rsidRPr="004F5B62" w:rsidRDefault="00B1469E" w:rsidP="00B1469E">
            <w:pPr>
              <w:jc w:val="center"/>
              <w:rPr>
                <w:rFonts w:eastAsia="Calibri" w:cs="Calibri"/>
                <w:bCs/>
                <w:lang w:eastAsia="sl-SI"/>
              </w:rPr>
            </w:pPr>
            <w:r w:rsidRPr="004F5B62">
              <w:rPr>
                <w:rFonts w:asciiTheme="minorHAnsi" w:hAnsiTheme="minorHAnsi"/>
                <w:bCs/>
              </w:rPr>
              <w:t>SYSTEM LOGISTICS 1</w:t>
            </w:r>
            <w:r w:rsidRPr="004F5B62">
              <w:rPr>
                <w:rFonts w:asciiTheme="minorHAnsi" w:hAnsiTheme="minorHAnsi"/>
                <w:bCs/>
                <w:vertAlign w:val="superscript"/>
              </w:rPr>
              <w:t>st</w:t>
            </w:r>
            <w:r w:rsidRPr="004F5B62">
              <w:rPr>
                <w:rFonts w:asciiTheme="minorHAnsi" w:hAnsiTheme="minorHAnsi"/>
                <w:bCs/>
              </w:rPr>
              <w:t xml:space="preserve"> degree</w:t>
            </w:r>
          </w:p>
        </w:tc>
        <w:tc>
          <w:tcPr>
            <w:tcW w:w="3401"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B1469E" w:rsidRPr="004F5B62" w:rsidRDefault="00B1469E" w:rsidP="00B1469E">
            <w:pPr>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2A42800E" w:rsidR="00B1469E" w:rsidRPr="004F5B62" w:rsidRDefault="006A772B" w:rsidP="00B1469E">
            <w:pPr>
              <w:jc w:val="center"/>
              <w:rPr>
                <w:rFonts w:eastAsia="Calibri" w:cs="Calibri"/>
                <w:b/>
                <w:bCs/>
                <w:lang w:eastAsia="sl-SI"/>
              </w:rPr>
            </w:pPr>
            <w:r w:rsidRPr="004F5B62">
              <w:rPr>
                <w:rFonts w:asciiTheme="minorHAnsi" w:hAnsiTheme="minorHAnsi"/>
                <w:bCs/>
              </w:rPr>
              <w:t>2.</w:t>
            </w:r>
          </w:p>
        </w:tc>
        <w:tc>
          <w:tcPr>
            <w:tcW w:w="1426" w:type="dxa"/>
            <w:gridSpan w:val="3"/>
            <w:tcBorders>
              <w:top w:val="single" w:sz="4" w:space="0" w:color="auto"/>
              <w:left w:val="single" w:sz="4" w:space="0" w:color="auto"/>
              <w:bottom w:val="single" w:sz="4" w:space="0" w:color="auto"/>
              <w:right w:val="single" w:sz="4" w:space="0" w:color="auto"/>
            </w:tcBorders>
            <w:vAlign w:val="center"/>
          </w:tcPr>
          <w:p w14:paraId="0EC8DD65" w14:textId="49FD6E9E" w:rsidR="00B1469E" w:rsidRPr="004F5B62" w:rsidRDefault="78AAF722" w:rsidP="00B1469E">
            <w:pPr>
              <w:jc w:val="center"/>
              <w:rPr>
                <w:rFonts w:eastAsia="Calibri" w:cs="Calibri"/>
                <w:b/>
                <w:bCs/>
                <w:lang w:eastAsia="sl-SI"/>
              </w:rPr>
            </w:pPr>
            <w:r w:rsidRPr="004F5B62">
              <w:rPr>
                <w:rFonts w:asciiTheme="minorHAnsi" w:hAnsiTheme="minorHAnsi"/>
              </w:rPr>
              <w:t>4</w:t>
            </w:r>
            <w:r w:rsidR="26EAB1CF" w:rsidRPr="004F5B62">
              <w:rPr>
                <w:rFonts w:asciiTheme="minorHAnsi" w:hAnsiTheme="minorHAnsi"/>
              </w:rPr>
              <w:t>.</w:t>
            </w:r>
          </w:p>
        </w:tc>
      </w:tr>
      <w:tr w:rsidR="005A11E4" w:rsidRPr="0049183D" w14:paraId="1E148366" w14:textId="77777777" w:rsidTr="0B44B878">
        <w:trPr>
          <w:trHeight w:val="103"/>
        </w:trPr>
        <w:tc>
          <w:tcPr>
            <w:tcW w:w="9690" w:type="dxa"/>
            <w:gridSpan w:val="19"/>
          </w:tcPr>
          <w:p w14:paraId="633C5EFA" w14:textId="77777777" w:rsidR="005A11E4" w:rsidRPr="004F5B62" w:rsidRDefault="005A11E4" w:rsidP="00B71733">
            <w:pPr>
              <w:rPr>
                <w:rFonts w:eastAsia="Calibri" w:cs="Calibri"/>
                <w:b/>
                <w:bCs/>
                <w:lang w:eastAsia="sl-SI"/>
              </w:rPr>
            </w:pPr>
          </w:p>
        </w:tc>
      </w:tr>
      <w:tr w:rsidR="005A11E4" w:rsidRPr="0049183D" w14:paraId="53363266" w14:textId="77777777" w:rsidTr="0B44B878">
        <w:trPr>
          <w:trHeight w:val="270"/>
        </w:trPr>
        <w:tc>
          <w:tcPr>
            <w:tcW w:w="5716" w:type="dxa"/>
            <w:gridSpan w:val="13"/>
            <w:vMerge w:val="restart"/>
            <w:tcBorders>
              <w:top w:val="nil"/>
              <w:left w:val="nil"/>
              <w:right w:val="single" w:sz="4" w:space="0" w:color="auto"/>
            </w:tcBorders>
          </w:tcPr>
          <w:p w14:paraId="1401AD15" w14:textId="77777777" w:rsidR="005A11E4" w:rsidRPr="004F5B62" w:rsidRDefault="005A11E4" w:rsidP="00B71733">
            <w:pPr>
              <w:rPr>
                <w:rFonts w:eastAsia="Calibri" w:cs="Calibri"/>
                <w:b/>
                <w:lang w:eastAsia="sl-SI"/>
              </w:rPr>
            </w:pPr>
            <w:r w:rsidRPr="004F5B62">
              <w:rPr>
                <w:rFonts w:eastAsia="Calibri" w:cs="Calibri"/>
                <w:b/>
                <w:lang w:eastAsia="sl-SI"/>
              </w:rPr>
              <w:t xml:space="preserve">Vrsta predmeta (obvezni ali izbirni) / </w:t>
            </w:r>
          </w:p>
          <w:p w14:paraId="1F59CDFB" w14:textId="77777777" w:rsidR="005A11E4" w:rsidRPr="004F5B62" w:rsidRDefault="005A11E4" w:rsidP="00B71733">
            <w:pPr>
              <w:rPr>
                <w:rFonts w:eastAsia="Calibri" w:cs="Calibri"/>
                <w:b/>
                <w:lang w:eastAsia="sl-SI"/>
              </w:rPr>
            </w:pPr>
            <w:r w:rsidRPr="004F5B62">
              <w:rPr>
                <w:rFonts w:eastAsia="Calibri" w:cs="Calibri"/>
                <w:b/>
                <w:lang w:eastAsia="sl-SI"/>
              </w:rPr>
              <w:t>Course type (compulsory or elective)</w:t>
            </w:r>
          </w:p>
        </w:tc>
        <w:tc>
          <w:tcPr>
            <w:tcW w:w="3974" w:type="dxa"/>
            <w:gridSpan w:val="6"/>
            <w:tcBorders>
              <w:top w:val="single" w:sz="4" w:space="0" w:color="auto"/>
              <w:left w:val="single" w:sz="4" w:space="0" w:color="auto"/>
              <w:bottom w:val="single" w:sz="4" w:space="0" w:color="auto"/>
              <w:right w:val="single" w:sz="4" w:space="0" w:color="auto"/>
            </w:tcBorders>
          </w:tcPr>
          <w:p w14:paraId="533FD75F" w14:textId="26F41A45" w:rsidR="005A11E4" w:rsidRPr="004F5B62" w:rsidRDefault="00B1469E" w:rsidP="00B71733">
            <w:pPr>
              <w:rPr>
                <w:rFonts w:eastAsia="Calibri" w:cs="Calibri"/>
                <w:lang w:eastAsia="sl-SI"/>
              </w:rPr>
            </w:pPr>
            <w:r w:rsidRPr="004F5B62">
              <w:rPr>
                <w:rFonts w:eastAsia="Calibri" w:cs="Calibri"/>
                <w:lang w:eastAsia="sl-SI"/>
              </w:rPr>
              <w:t>OBVEZNI</w:t>
            </w:r>
          </w:p>
        </w:tc>
      </w:tr>
      <w:tr w:rsidR="005A11E4" w:rsidRPr="0049183D" w14:paraId="6024E532" w14:textId="77777777" w:rsidTr="0B44B878">
        <w:trPr>
          <w:trHeight w:val="56"/>
        </w:trPr>
        <w:tc>
          <w:tcPr>
            <w:tcW w:w="5716" w:type="dxa"/>
            <w:gridSpan w:val="13"/>
            <w:vMerge/>
          </w:tcPr>
          <w:p w14:paraId="6138598E" w14:textId="77777777" w:rsidR="005A11E4" w:rsidRPr="004F5B62" w:rsidRDefault="005A11E4" w:rsidP="00B71733">
            <w:pPr>
              <w:rPr>
                <w:rFonts w:eastAsia="Calibri" w:cs="Calibri"/>
                <w:b/>
                <w:lang w:eastAsia="sl-SI"/>
              </w:rPr>
            </w:pPr>
          </w:p>
        </w:tc>
        <w:tc>
          <w:tcPr>
            <w:tcW w:w="3974" w:type="dxa"/>
            <w:gridSpan w:val="6"/>
            <w:tcBorders>
              <w:top w:val="single" w:sz="4" w:space="0" w:color="auto"/>
              <w:left w:val="single" w:sz="4" w:space="0" w:color="auto"/>
              <w:bottom w:val="single" w:sz="4" w:space="0" w:color="auto"/>
              <w:right w:val="single" w:sz="4" w:space="0" w:color="auto"/>
            </w:tcBorders>
          </w:tcPr>
          <w:p w14:paraId="49D08902" w14:textId="45A86BBF" w:rsidR="005A11E4" w:rsidRPr="004F5B62" w:rsidRDefault="00B1469E" w:rsidP="00B71733">
            <w:pPr>
              <w:rPr>
                <w:rFonts w:eastAsia="Calibri" w:cs="Calibri"/>
                <w:lang w:val="en-GB" w:eastAsia="sl-SI"/>
              </w:rPr>
            </w:pPr>
            <w:r w:rsidRPr="004F5B62">
              <w:rPr>
                <w:rFonts w:eastAsia="Calibri" w:cs="Calibri"/>
                <w:lang w:val="en-GB" w:eastAsia="sl-SI"/>
              </w:rPr>
              <w:t>COMPULSORY</w:t>
            </w:r>
          </w:p>
        </w:tc>
      </w:tr>
      <w:tr w:rsidR="005A11E4" w:rsidRPr="0049183D" w14:paraId="6B1B7C32" w14:textId="77777777" w:rsidTr="0B44B878">
        <w:tc>
          <w:tcPr>
            <w:tcW w:w="5716" w:type="dxa"/>
            <w:gridSpan w:val="13"/>
          </w:tcPr>
          <w:p w14:paraId="02799658" w14:textId="77777777" w:rsidR="005A11E4" w:rsidRPr="004F5B62" w:rsidRDefault="005A11E4" w:rsidP="00B71733">
            <w:pPr>
              <w:rPr>
                <w:rFonts w:eastAsia="Calibri" w:cs="Calibri"/>
                <w:b/>
                <w:lang w:eastAsia="sl-SI"/>
              </w:rPr>
            </w:pPr>
          </w:p>
        </w:tc>
        <w:tc>
          <w:tcPr>
            <w:tcW w:w="3974" w:type="dxa"/>
            <w:gridSpan w:val="6"/>
            <w:tcBorders>
              <w:top w:val="single" w:sz="4" w:space="0" w:color="auto"/>
              <w:left w:val="nil"/>
              <w:bottom w:val="single" w:sz="4" w:space="0" w:color="auto"/>
              <w:right w:val="nil"/>
            </w:tcBorders>
          </w:tcPr>
          <w:p w14:paraId="0D896605" w14:textId="77777777" w:rsidR="005A11E4" w:rsidRPr="004F5B62" w:rsidRDefault="005A11E4" w:rsidP="00B71733">
            <w:pPr>
              <w:rPr>
                <w:rFonts w:eastAsia="Calibri" w:cs="Calibri"/>
                <w:lang w:eastAsia="sl-SI"/>
              </w:rPr>
            </w:pPr>
          </w:p>
        </w:tc>
      </w:tr>
      <w:tr w:rsidR="005A11E4" w:rsidRPr="0049183D" w14:paraId="5DB8E894" w14:textId="77777777" w:rsidTr="0B44B878">
        <w:tc>
          <w:tcPr>
            <w:tcW w:w="5716" w:type="dxa"/>
            <w:gridSpan w:val="13"/>
            <w:tcBorders>
              <w:top w:val="nil"/>
              <w:left w:val="nil"/>
              <w:bottom w:val="nil"/>
              <w:right w:val="single" w:sz="4" w:space="0" w:color="auto"/>
            </w:tcBorders>
          </w:tcPr>
          <w:p w14:paraId="18788BB8" w14:textId="77777777" w:rsidR="005A11E4" w:rsidRPr="004F5B62" w:rsidRDefault="005A11E4" w:rsidP="00B71733">
            <w:pPr>
              <w:rPr>
                <w:rFonts w:eastAsia="Calibri" w:cs="Calibri"/>
                <w:b/>
                <w:lang w:eastAsia="sl-SI"/>
              </w:rPr>
            </w:pPr>
            <w:r w:rsidRPr="004F5B62">
              <w:rPr>
                <w:rFonts w:eastAsia="Calibri" w:cs="Calibri"/>
                <w:b/>
                <w:lang w:eastAsia="sl-SI"/>
              </w:rPr>
              <w:t>Univerzitetna koda predmeta / University course code:</w:t>
            </w:r>
          </w:p>
        </w:tc>
        <w:tc>
          <w:tcPr>
            <w:tcW w:w="3974" w:type="dxa"/>
            <w:gridSpan w:val="6"/>
            <w:tcBorders>
              <w:top w:val="single" w:sz="4" w:space="0" w:color="auto"/>
              <w:left w:val="single" w:sz="4" w:space="0" w:color="auto"/>
              <w:bottom w:val="single" w:sz="4" w:space="0" w:color="auto"/>
              <w:right w:val="single" w:sz="4" w:space="0" w:color="auto"/>
            </w:tcBorders>
          </w:tcPr>
          <w:p w14:paraId="6394C791" w14:textId="248A18CA" w:rsidR="005A11E4" w:rsidRPr="004F5B62" w:rsidRDefault="00B1469E" w:rsidP="00B71733">
            <w:pPr>
              <w:rPr>
                <w:rFonts w:eastAsia="Calibri" w:cs="Calibri"/>
                <w:lang w:eastAsia="sl-SI"/>
              </w:rPr>
            </w:pPr>
            <w:r w:rsidRPr="004F5B62">
              <w:rPr>
                <w:rFonts w:eastAsia="Calibri" w:cs="Calibri"/>
                <w:lang w:eastAsia="sl-SI"/>
              </w:rPr>
              <w:t>UN</w:t>
            </w:r>
          </w:p>
        </w:tc>
      </w:tr>
      <w:tr w:rsidR="005A11E4" w:rsidRPr="0049183D" w14:paraId="5FC48C48" w14:textId="77777777" w:rsidTr="0B44B878">
        <w:tc>
          <w:tcPr>
            <w:tcW w:w="9690" w:type="dxa"/>
            <w:gridSpan w:val="19"/>
          </w:tcPr>
          <w:p w14:paraId="19BF6CFB" w14:textId="77777777" w:rsidR="005A11E4" w:rsidRPr="004F5B62" w:rsidRDefault="005A11E4" w:rsidP="00B71733">
            <w:pPr>
              <w:rPr>
                <w:rFonts w:eastAsia="Calibri" w:cs="Calibri"/>
                <w:lang w:eastAsia="sl-SI"/>
              </w:rPr>
            </w:pPr>
          </w:p>
        </w:tc>
      </w:tr>
      <w:tr w:rsidR="005A11E4" w:rsidRPr="0049183D" w14:paraId="69EB4177" w14:textId="77777777" w:rsidTr="00C54704">
        <w:tc>
          <w:tcPr>
            <w:tcW w:w="1408" w:type="dxa"/>
            <w:tcBorders>
              <w:top w:val="nil"/>
              <w:left w:val="nil"/>
              <w:bottom w:val="single" w:sz="4" w:space="0" w:color="auto"/>
              <w:right w:val="nil"/>
            </w:tcBorders>
            <w:vAlign w:val="center"/>
          </w:tcPr>
          <w:p w14:paraId="1246A1B7" w14:textId="77777777" w:rsidR="005A11E4" w:rsidRPr="004F5B62" w:rsidRDefault="005A11E4" w:rsidP="00B71733">
            <w:pPr>
              <w:jc w:val="center"/>
              <w:rPr>
                <w:rFonts w:eastAsia="Calibri" w:cs="Calibri"/>
                <w:b/>
                <w:lang w:eastAsia="sl-SI"/>
              </w:rPr>
            </w:pPr>
            <w:r w:rsidRPr="004F5B62">
              <w:rPr>
                <w:rFonts w:eastAsia="Calibri" w:cs="Calibri"/>
                <w:b/>
                <w:lang w:eastAsia="sl-SI"/>
              </w:rPr>
              <w:t>Predavanja</w:t>
            </w:r>
          </w:p>
          <w:p w14:paraId="3AB6B11D" w14:textId="77777777" w:rsidR="005A11E4" w:rsidRPr="004F5B62" w:rsidRDefault="005A11E4" w:rsidP="00B71733">
            <w:pPr>
              <w:jc w:val="center"/>
              <w:rPr>
                <w:rFonts w:eastAsia="Calibri" w:cs="Calibri"/>
                <w:lang w:eastAsia="sl-SI"/>
              </w:rPr>
            </w:pPr>
            <w:r w:rsidRPr="004F5B62">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F5B62" w:rsidRDefault="005A11E4" w:rsidP="00B71733">
            <w:pPr>
              <w:jc w:val="center"/>
              <w:rPr>
                <w:rFonts w:eastAsia="Calibri" w:cs="Calibri"/>
                <w:b/>
                <w:lang w:eastAsia="sl-SI"/>
              </w:rPr>
            </w:pPr>
            <w:r w:rsidRPr="004F5B62">
              <w:rPr>
                <w:rFonts w:eastAsia="Calibri" w:cs="Calibri"/>
                <w:b/>
                <w:lang w:eastAsia="sl-SI"/>
              </w:rPr>
              <w:t>Seminar</w:t>
            </w:r>
          </w:p>
          <w:p w14:paraId="04DEEED4" w14:textId="77777777" w:rsidR="005A11E4" w:rsidRPr="004F5B62" w:rsidRDefault="005A11E4" w:rsidP="00B71733">
            <w:pPr>
              <w:jc w:val="center"/>
              <w:rPr>
                <w:rFonts w:eastAsia="Calibri" w:cs="Calibri"/>
                <w:b/>
                <w:lang w:eastAsia="sl-SI"/>
              </w:rPr>
            </w:pPr>
            <w:r w:rsidRPr="004F5B62">
              <w:rPr>
                <w:rFonts w:eastAsia="Calibri" w:cs="Calibri"/>
                <w:b/>
                <w:lang w:eastAsia="sl-SI"/>
              </w:rPr>
              <w:t>Seminar</w:t>
            </w:r>
          </w:p>
        </w:tc>
        <w:tc>
          <w:tcPr>
            <w:tcW w:w="1418" w:type="dxa"/>
            <w:gridSpan w:val="3"/>
            <w:tcBorders>
              <w:top w:val="nil"/>
              <w:left w:val="nil"/>
              <w:bottom w:val="single" w:sz="4" w:space="0" w:color="auto"/>
              <w:right w:val="nil"/>
            </w:tcBorders>
            <w:vAlign w:val="center"/>
          </w:tcPr>
          <w:p w14:paraId="777CFAED" w14:textId="77777777" w:rsidR="005A11E4" w:rsidRPr="004F5B62" w:rsidRDefault="005A11E4" w:rsidP="00B71733">
            <w:pPr>
              <w:jc w:val="center"/>
              <w:rPr>
                <w:rFonts w:eastAsia="Calibri" w:cs="Calibri"/>
                <w:b/>
                <w:lang w:eastAsia="sl-SI"/>
              </w:rPr>
            </w:pPr>
            <w:r w:rsidRPr="004F5B62">
              <w:rPr>
                <w:rFonts w:eastAsia="Calibri" w:cs="Calibri"/>
                <w:b/>
                <w:lang w:eastAsia="sl-SI"/>
              </w:rPr>
              <w:t>Vaje</w:t>
            </w:r>
          </w:p>
          <w:p w14:paraId="10B353FB" w14:textId="77777777" w:rsidR="005A11E4" w:rsidRPr="004F5B62" w:rsidRDefault="005A11E4" w:rsidP="00B71733">
            <w:pPr>
              <w:jc w:val="center"/>
              <w:rPr>
                <w:rFonts w:eastAsia="Calibri" w:cs="Calibri"/>
                <w:b/>
                <w:lang w:eastAsia="sl-SI"/>
              </w:rPr>
            </w:pPr>
            <w:r w:rsidRPr="004F5B62">
              <w:rPr>
                <w:rFonts w:eastAsia="Calibri" w:cs="Calibri"/>
                <w:b/>
                <w:lang w:eastAsia="sl-SI"/>
              </w:rPr>
              <w:t>Tutorial</w:t>
            </w:r>
          </w:p>
        </w:tc>
        <w:tc>
          <w:tcPr>
            <w:tcW w:w="1418" w:type="dxa"/>
            <w:gridSpan w:val="5"/>
            <w:tcBorders>
              <w:top w:val="nil"/>
              <w:left w:val="nil"/>
              <w:bottom w:val="single" w:sz="4" w:space="0" w:color="auto"/>
              <w:right w:val="nil"/>
            </w:tcBorders>
            <w:vAlign w:val="center"/>
          </w:tcPr>
          <w:p w14:paraId="4AA97DA7" w14:textId="77777777" w:rsidR="005A11E4" w:rsidRPr="004F5B62" w:rsidRDefault="005A11E4" w:rsidP="00B71733">
            <w:pPr>
              <w:jc w:val="center"/>
              <w:rPr>
                <w:rFonts w:eastAsia="Calibri" w:cs="Calibri"/>
                <w:b/>
                <w:lang w:eastAsia="sl-SI"/>
              </w:rPr>
            </w:pPr>
            <w:r w:rsidRPr="004F5B62">
              <w:rPr>
                <w:rFonts w:eastAsia="Calibri" w:cs="Calibri"/>
                <w:b/>
                <w:lang w:eastAsia="sl-SI"/>
              </w:rPr>
              <w:t>Klinične vaje</w:t>
            </w:r>
          </w:p>
          <w:p w14:paraId="634655B8" w14:textId="77777777" w:rsidR="005A11E4" w:rsidRPr="004F5B62" w:rsidRDefault="005A11E4" w:rsidP="00B71733">
            <w:pPr>
              <w:jc w:val="center"/>
              <w:rPr>
                <w:rFonts w:eastAsia="Calibri" w:cs="Calibri"/>
                <w:b/>
                <w:lang w:eastAsia="sl-SI"/>
              </w:rPr>
            </w:pPr>
            <w:r w:rsidRPr="004F5B62">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4F5B62" w:rsidRDefault="005A11E4" w:rsidP="00B71733">
            <w:pPr>
              <w:jc w:val="center"/>
              <w:rPr>
                <w:rFonts w:eastAsia="Calibri" w:cs="Calibri"/>
                <w:b/>
                <w:lang w:eastAsia="sl-SI"/>
              </w:rPr>
            </w:pPr>
            <w:r w:rsidRPr="004F5B62">
              <w:rPr>
                <w:rFonts w:eastAsia="Calibri" w:cs="Calibri"/>
                <w:b/>
                <w:lang w:eastAsia="sl-SI"/>
              </w:rPr>
              <w:t>Druge oblike študija</w:t>
            </w:r>
          </w:p>
          <w:p w14:paraId="451CAA1F" w14:textId="77777777" w:rsidR="005A11E4" w:rsidRPr="004F5B62" w:rsidRDefault="005A11E4" w:rsidP="00B71733">
            <w:pPr>
              <w:jc w:val="center"/>
              <w:rPr>
                <w:rFonts w:eastAsia="Calibri" w:cs="Calibri"/>
                <w:b/>
                <w:lang w:eastAsia="sl-SI"/>
              </w:rPr>
            </w:pPr>
            <w:r w:rsidRPr="004F5B62">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F5B62" w:rsidRDefault="005A11E4" w:rsidP="00B71733">
            <w:pPr>
              <w:jc w:val="center"/>
              <w:rPr>
                <w:rFonts w:eastAsia="Calibri" w:cs="Calibri"/>
                <w:b/>
                <w:lang w:eastAsia="sl-SI"/>
              </w:rPr>
            </w:pPr>
            <w:r w:rsidRPr="004F5B62">
              <w:rPr>
                <w:rFonts w:eastAsia="Calibri" w:cs="Calibri"/>
                <w:b/>
                <w:lang w:eastAsia="sl-SI"/>
              </w:rPr>
              <w:t>Samost. delo</w:t>
            </w:r>
          </w:p>
          <w:p w14:paraId="4DF2C0FA" w14:textId="77777777" w:rsidR="005A11E4" w:rsidRPr="004F5B62" w:rsidRDefault="005A11E4" w:rsidP="00B71733">
            <w:pPr>
              <w:jc w:val="center"/>
              <w:rPr>
                <w:rFonts w:eastAsia="Calibri" w:cs="Calibri"/>
                <w:b/>
                <w:lang w:eastAsia="sl-SI"/>
              </w:rPr>
            </w:pPr>
            <w:r w:rsidRPr="004F5B62">
              <w:rPr>
                <w:rFonts w:eastAsia="Calibri" w:cs="Calibri"/>
                <w:b/>
                <w:lang w:eastAsia="sl-SI"/>
              </w:rPr>
              <w:t>Individual work</w:t>
            </w:r>
          </w:p>
        </w:tc>
        <w:tc>
          <w:tcPr>
            <w:tcW w:w="132" w:type="dxa"/>
            <w:vAlign w:val="center"/>
          </w:tcPr>
          <w:p w14:paraId="74E21441" w14:textId="77777777" w:rsidR="005A11E4" w:rsidRPr="004F5B62" w:rsidRDefault="005A11E4" w:rsidP="00B71733">
            <w:pPr>
              <w:jc w:val="center"/>
              <w:rPr>
                <w:rFonts w:eastAsia="Calibri" w:cs="Calibri"/>
                <w:b/>
                <w:bCs/>
                <w:lang w:eastAsia="sl-SI"/>
              </w:rPr>
            </w:pPr>
          </w:p>
        </w:tc>
        <w:tc>
          <w:tcPr>
            <w:tcW w:w="1070" w:type="dxa"/>
            <w:tcBorders>
              <w:top w:val="nil"/>
              <w:left w:val="nil"/>
              <w:bottom w:val="single" w:sz="4" w:space="0" w:color="auto"/>
              <w:right w:val="nil"/>
            </w:tcBorders>
            <w:vAlign w:val="center"/>
          </w:tcPr>
          <w:p w14:paraId="202FEEDC" w14:textId="77777777" w:rsidR="005A11E4" w:rsidRPr="004F5B62" w:rsidRDefault="005A11E4" w:rsidP="00B71733">
            <w:pPr>
              <w:jc w:val="center"/>
              <w:rPr>
                <w:rFonts w:eastAsia="Calibri" w:cs="Calibri"/>
                <w:b/>
                <w:lang w:eastAsia="sl-SI"/>
              </w:rPr>
            </w:pPr>
            <w:r w:rsidRPr="004F5B62">
              <w:rPr>
                <w:rFonts w:eastAsia="Calibri" w:cs="Calibri"/>
                <w:b/>
                <w:lang w:eastAsia="sl-SI"/>
              </w:rPr>
              <w:t>ECTS</w:t>
            </w:r>
          </w:p>
        </w:tc>
      </w:tr>
      <w:tr w:rsidR="00E638E3" w:rsidRPr="0049183D" w14:paraId="6C3C0BA4" w14:textId="77777777" w:rsidTr="00C54704">
        <w:trPr>
          <w:trHeight w:val="318"/>
        </w:trPr>
        <w:tc>
          <w:tcPr>
            <w:tcW w:w="1408" w:type="dxa"/>
            <w:vMerge w:val="restart"/>
            <w:tcBorders>
              <w:top w:val="single" w:sz="4" w:space="0" w:color="auto"/>
              <w:left w:val="single" w:sz="4" w:space="0" w:color="auto"/>
              <w:bottom w:val="single" w:sz="4" w:space="0" w:color="auto"/>
              <w:right w:val="single" w:sz="4" w:space="0" w:color="auto"/>
            </w:tcBorders>
            <w:vAlign w:val="center"/>
          </w:tcPr>
          <w:p w14:paraId="248ED8F8" w14:textId="23D9DB2D" w:rsidR="00E638E3" w:rsidRPr="004F5B62" w:rsidRDefault="00E638E3" w:rsidP="00B1469E">
            <w:pPr>
              <w:jc w:val="center"/>
              <w:rPr>
                <w:rFonts w:asciiTheme="minorHAnsi" w:hAnsiTheme="minorHAnsi"/>
                <w:b/>
                <w:bCs/>
              </w:rPr>
            </w:pPr>
            <w:r w:rsidRPr="004F5B62">
              <w:rPr>
                <w:rFonts w:asciiTheme="minorHAnsi" w:hAnsiTheme="minorHAnsi"/>
                <w:bCs/>
              </w:rPr>
              <w:t>24 a-P</w:t>
            </w:r>
          </w:p>
          <w:p w14:paraId="013B6061" w14:textId="0528CB92" w:rsidR="00E638E3" w:rsidRPr="004F5B62" w:rsidRDefault="00E638E3" w:rsidP="00B1469E">
            <w:pPr>
              <w:jc w:val="center"/>
              <w:rPr>
                <w:rFonts w:eastAsia="Calibri" w:cs="Calibri"/>
                <w:b/>
                <w:bCs/>
                <w:lang w:eastAsia="sl-SI"/>
              </w:rPr>
            </w:pPr>
            <w:r w:rsidRPr="004F5B62">
              <w:rPr>
                <w:rFonts w:asciiTheme="minorHAnsi" w:hAnsiTheme="minorHAnsi"/>
                <w:bCs/>
              </w:rPr>
              <w:t>21 e-P</w:t>
            </w:r>
          </w:p>
        </w:tc>
        <w:tc>
          <w:tcPr>
            <w:tcW w:w="1410" w:type="dxa"/>
            <w:gridSpan w:val="3"/>
            <w:vMerge w:val="restart"/>
            <w:tcBorders>
              <w:top w:val="single" w:sz="4" w:space="0" w:color="auto"/>
              <w:left w:val="single" w:sz="4" w:space="0" w:color="auto"/>
              <w:bottom w:val="single" w:sz="4" w:space="0" w:color="auto"/>
              <w:right w:val="single" w:sz="4" w:space="0" w:color="auto"/>
            </w:tcBorders>
            <w:vAlign w:val="center"/>
          </w:tcPr>
          <w:p w14:paraId="5DED1D29" w14:textId="77777777" w:rsidR="00E638E3" w:rsidRPr="004F5B62" w:rsidRDefault="00E638E3" w:rsidP="00B71733">
            <w:pPr>
              <w:jc w:val="center"/>
              <w:rPr>
                <w:rFonts w:eastAsia="Calibri" w:cs="Calibri"/>
                <w:b/>
                <w:bCs/>
                <w:lang w:eastAsia="sl-SI"/>
              </w:rPr>
            </w:pPr>
          </w:p>
        </w:tc>
        <w:tc>
          <w:tcPr>
            <w:tcW w:w="1418" w:type="dxa"/>
            <w:gridSpan w:val="3"/>
            <w:vMerge w:val="restart"/>
            <w:tcBorders>
              <w:top w:val="single" w:sz="4" w:space="0" w:color="auto"/>
              <w:left w:val="single" w:sz="4" w:space="0" w:color="auto"/>
              <w:bottom w:val="single" w:sz="4" w:space="0" w:color="auto"/>
              <w:right w:val="single" w:sz="4" w:space="0" w:color="auto"/>
            </w:tcBorders>
            <w:vAlign w:val="center"/>
          </w:tcPr>
          <w:p w14:paraId="7394CA2F" w14:textId="439F5252" w:rsidR="00E638E3" w:rsidRPr="004F5B62" w:rsidRDefault="00AA3383" w:rsidP="00E638E3">
            <w:pPr>
              <w:jc w:val="center"/>
              <w:rPr>
                <w:rFonts w:asciiTheme="minorHAnsi" w:hAnsiTheme="minorHAnsi"/>
                <w:bCs/>
              </w:rPr>
            </w:pPr>
            <w:r w:rsidRPr="004F5B62">
              <w:rPr>
                <w:rFonts w:asciiTheme="minorHAnsi" w:hAnsiTheme="minorHAnsi"/>
                <w:bCs/>
              </w:rPr>
              <w:t>18</w:t>
            </w:r>
            <w:r w:rsidR="00E638E3" w:rsidRPr="004F5B62">
              <w:rPr>
                <w:rFonts w:asciiTheme="minorHAnsi" w:hAnsiTheme="minorHAnsi"/>
                <w:bCs/>
              </w:rPr>
              <w:t>e-V</w:t>
            </w:r>
          </w:p>
          <w:p w14:paraId="6C84A960" w14:textId="5225E649" w:rsidR="00E638E3" w:rsidRPr="004F5B62" w:rsidRDefault="00AA3383" w:rsidP="00E638E3">
            <w:pPr>
              <w:jc w:val="center"/>
              <w:rPr>
                <w:rFonts w:eastAsia="Calibri" w:cs="Calibri"/>
                <w:b/>
                <w:bCs/>
                <w:lang w:eastAsia="sl-SI"/>
              </w:rPr>
            </w:pPr>
            <w:r w:rsidRPr="004F5B62">
              <w:rPr>
                <w:rFonts w:asciiTheme="minorHAnsi" w:hAnsiTheme="minorHAnsi"/>
                <w:bCs/>
              </w:rPr>
              <w:t>27</w:t>
            </w:r>
            <w:r w:rsidR="00E638E3" w:rsidRPr="004F5B62">
              <w:rPr>
                <w:rFonts w:asciiTheme="minorHAnsi" w:hAnsiTheme="minorHAnsi"/>
                <w:bCs/>
              </w:rPr>
              <w:t>a-V</w:t>
            </w:r>
          </w:p>
        </w:tc>
        <w:tc>
          <w:tcPr>
            <w:tcW w:w="1418" w:type="dxa"/>
            <w:gridSpan w:val="5"/>
            <w:vMerge w:val="restart"/>
            <w:tcBorders>
              <w:top w:val="single" w:sz="4" w:space="0" w:color="auto"/>
              <w:left w:val="single" w:sz="4" w:space="0" w:color="auto"/>
              <w:bottom w:val="single" w:sz="4" w:space="0" w:color="auto"/>
              <w:right w:val="single" w:sz="4" w:space="0" w:color="auto"/>
            </w:tcBorders>
            <w:vAlign w:val="center"/>
          </w:tcPr>
          <w:p w14:paraId="3862BA5E" w14:textId="77777777" w:rsidR="00E638E3" w:rsidRPr="004F5B62" w:rsidRDefault="00E638E3" w:rsidP="00B71733">
            <w:pPr>
              <w:jc w:val="center"/>
              <w:rPr>
                <w:rFonts w:eastAsia="Calibri" w:cs="Calibri"/>
                <w:b/>
                <w:bCs/>
                <w:lang w:eastAsia="sl-SI"/>
              </w:rPr>
            </w:pPr>
          </w:p>
        </w:tc>
        <w:tc>
          <w:tcPr>
            <w:tcW w:w="1417" w:type="dxa"/>
            <w:gridSpan w:val="3"/>
            <w:vMerge w:val="restart"/>
            <w:tcBorders>
              <w:top w:val="single" w:sz="4" w:space="0" w:color="auto"/>
              <w:left w:val="single" w:sz="4" w:space="0" w:color="auto"/>
              <w:bottom w:val="single" w:sz="4" w:space="0" w:color="auto"/>
              <w:right w:val="single" w:sz="4" w:space="0" w:color="auto"/>
            </w:tcBorders>
            <w:vAlign w:val="center"/>
          </w:tcPr>
          <w:p w14:paraId="3E94709B" w14:textId="77777777" w:rsidR="00E638E3" w:rsidRPr="004F5B62" w:rsidRDefault="00E638E3" w:rsidP="00B71733">
            <w:pPr>
              <w:jc w:val="center"/>
              <w:rPr>
                <w:rFonts w:eastAsia="Calibri" w:cs="Calibri"/>
                <w:b/>
                <w:bCs/>
                <w:lang w:eastAsia="sl-SI"/>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FB0B696" w14:textId="3256AA1A" w:rsidR="00E638E3" w:rsidRPr="004F5B62" w:rsidRDefault="00E638E3" w:rsidP="00B71733">
            <w:pPr>
              <w:jc w:val="center"/>
              <w:rPr>
                <w:rFonts w:eastAsia="Calibri" w:cs="Calibri"/>
                <w:bCs/>
                <w:lang w:eastAsia="sl-SI"/>
              </w:rPr>
            </w:pPr>
            <w:r w:rsidRPr="004F5B62">
              <w:rPr>
                <w:rFonts w:eastAsia="Calibri" w:cs="Calibri"/>
                <w:bCs/>
                <w:lang w:eastAsia="sl-SI"/>
              </w:rPr>
              <w:t>90</w:t>
            </w:r>
          </w:p>
        </w:tc>
        <w:tc>
          <w:tcPr>
            <w:tcW w:w="132" w:type="dxa"/>
            <w:tcBorders>
              <w:top w:val="nil"/>
              <w:left w:val="single" w:sz="4" w:space="0" w:color="auto"/>
              <w:bottom w:val="nil"/>
              <w:right w:val="single" w:sz="4" w:space="0" w:color="auto"/>
            </w:tcBorders>
            <w:vAlign w:val="center"/>
          </w:tcPr>
          <w:p w14:paraId="19596EE3" w14:textId="77777777" w:rsidR="00E638E3" w:rsidRPr="004F5B62" w:rsidRDefault="00E638E3" w:rsidP="00B71733">
            <w:pPr>
              <w:jc w:val="center"/>
              <w:rPr>
                <w:rFonts w:eastAsia="Calibri" w:cs="Calibri"/>
                <w:b/>
                <w:bCs/>
                <w:lang w:eastAsia="sl-SI"/>
              </w:rPr>
            </w:pPr>
          </w:p>
        </w:tc>
        <w:tc>
          <w:tcPr>
            <w:tcW w:w="1070" w:type="dxa"/>
            <w:vMerge w:val="restart"/>
            <w:tcBorders>
              <w:top w:val="single" w:sz="4" w:space="0" w:color="auto"/>
              <w:left w:val="single" w:sz="4" w:space="0" w:color="auto"/>
              <w:bottom w:val="single" w:sz="4" w:space="0" w:color="auto"/>
              <w:right w:val="single" w:sz="4" w:space="0" w:color="auto"/>
            </w:tcBorders>
            <w:vAlign w:val="center"/>
          </w:tcPr>
          <w:p w14:paraId="16FFBE81" w14:textId="58F58625" w:rsidR="00E638E3" w:rsidRPr="004F5B62" w:rsidRDefault="00E638E3" w:rsidP="00B71733">
            <w:pPr>
              <w:jc w:val="center"/>
              <w:rPr>
                <w:rFonts w:eastAsia="Calibri" w:cs="Calibri"/>
                <w:bCs/>
                <w:lang w:eastAsia="sl-SI"/>
              </w:rPr>
            </w:pPr>
            <w:r w:rsidRPr="004F5B62">
              <w:rPr>
                <w:rFonts w:eastAsia="Calibri" w:cs="Calibri"/>
                <w:bCs/>
                <w:lang w:eastAsia="sl-SI"/>
              </w:rPr>
              <w:t>6</w:t>
            </w:r>
          </w:p>
        </w:tc>
      </w:tr>
      <w:tr w:rsidR="00E638E3" w:rsidRPr="0049183D" w14:paraId="33611488" w14:textId="77777777" w:rsidTr="00C54704">
        <w:trPr>
          <w:trHeight w:val="318"/>
        </w:trPr>
        <w:tc>
          <w:tcPr>
            <w:tcW w:w="1408" w:type="dxa"/>
            <w:vMerge/>
            <w:tcBorders>
              <w:left w:val="single" w:sz="4" w:space="0" w:color="auto"/>
              <w:bottom w:val="single" w:sz="4" w:space="0" w:color="auto"/>
              <w:right w:val="single" w:sz="4" w:space="0" w:color="auto"/>
            </w:tcBorders>
            <w:vAlign w:val="center"/>
          </w:tcPr>
          <w:p w14:paraId="569775EF" w14:textId="77777777" w:rsidR="00E638E3" w:rsidRPr="004F5B62" w:rsidRDefault="00E638E3" w:rsidP="00B71733">
            <w:pPr>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0B942646" w14:textId="77777777" w:rsidR="00E638E3" w:rsidRPr="004F5B62" w:rsidRDefault="00E638E3" w:rsidP="00B71733">
            <w:pPr>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9D65752" w14:textId="79A61587" w:rsidR="00E638E3" w:rsidRPr="004F5B62" w:rsidRDefault="00E638E3" w:rsidP="00B71733">
            <w:pPr>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0EE0C7EC" w14:textId="77777777" w:rsidR="00E638E3" w:rsidRPr="004F5B62" w:rsidRDefault="00E638E3" w:rsidP="00B71733">
            <w:pPr>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6062681F" w14:textId="77777777" w:rsidR="00E638E3" w:rsidRPr="004F5B62" w:rsidRDefault="00E638E3" w:rsidP="00B71733">
            <w:pPr>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3A4160BA" w14:textId="77777777" w:rsidR="00E638E3" w:rsidRPr="004F5B62" w:rsidRDefault="00E638E3" w:rsidP="00B71733">
            <w:pPr>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E638E3" w:rsidRPr="004F5B62" w:rsidRDefault="00E638E3" w:rsidP="00B71733">
            <w:pPr>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250B08E6" w14:textId="77777777" w:rsidR="00E638E3" w:rsidRPr="004F5B62" w:rsidRDefault="00E638E3" w:rsidP="00B71733">
            <w:pPr>
              <w:jc w:val="center"/>
              <w:rPr>
                <w:rFonts w:eastAsia="Calibri" w:cs="Calibri"/>
                <w:b/>
                <w:bCs/>
                <w:lang w:eastAsia="sl-SI"/>
              </w:rPr>
            </w:pPr>
          </w:p>
        </w:tc>
      </w:tr>
      <w:tr w:rsidR="00E638E3" w:rsidRPr="0049183D" w14:paraId="3AFC1636" w14:textId="77777777" w:rsidTr="00C54704">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638E3" w:rsidRPr="004F5B62" w:rsidRDefault="00E638E3" w:rsidP="00B71733">
            <w:pPr>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638E3" w:rsidRPr="004F5B62" w:rsidRDefault="00E638E3" w:rsidP="00B71733">
            <w:pPr>
              <w:jc w:val="center"/>
              <w:rPr>
                <w:rFonts w:eastAsia="Calibri" w:cs="Calibri"/>
                <w:b/>
                <w:bCs/>
                <w:lang w:eastAsia="sl-SI"/>
              </w:rPr>
            </w:pPr>
          </w:p>
        </w:tc>
        <w:tc>
          <w:tcPr>
            <w:tcW w:w="1418" w:type="dxa"/>
            <w:gridSpan w:val="3"/>
            <w:vMerge/>
            <w:tcBorders>
              <w:left w:val="single" w:sz="4" w:space="0" w:color="auto"/>
              <w:bottom w:val="single" w:sz="4" w:space="0" w:color="auto"/>
              <w:right w:val="single" w:sz="4" w:space="0" w:color="auto"/>
            </w:tcBorders>
            <w:vAlign w:val="center"/>
          </w:tcPr>
          <w:p w14:paraId="57A1AD9D" w14:textId="77777777" w:rsidR="00E638E3" w:rsidRPr="004F5B62" w:rsidRDefault="00E638E3" w:rsidP="00B71733">
            <w:pPr>
              <w:jc w:val="center"/>
              <w:rPr>
                <w:rFonts w:eastAsia="Calibri" w:cs="Calibri"/>
                <w:b/>
                <w:bCs/>
                <w:lang w:eastAsia="sl-SI"/>
              </w:rPr>
            </w:pPr>
          </w:p>
        </w:tc>
        <w:tc>
          <w:tcPr>
            <w:tcW w:w="1418" w:type="dxa"/>
            <w:gridSpan w:val="5"/>
            <w:vMerge/>
            <w:tcBorders>
              <w:left w:val="single" w:sz="4" w:space="0" w:color="auto"/>
              <w:bottom w:val="single" w:sz="4" w:space="0" w:color="auto"/>
              <w:right w:val="single" w:sz="4" w:space="0" w:color="auto"/>
            </w:tcBorders>
            <w:vAlign w:val="center"/>
          </w:tcPr>
          <w:p w14:paraId="708E46FC" w14:textId="77777777" w:rsidR="00E638E3" w:rsidRPr="004F5B62" w:rsidRDefault="00E638E3" w:rsidP="00B71733">
            <w:pPr>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638E3" w:rsidRPr="004F5B62" w:rsidRDefault="00E638E3" w:rsidP="00B71733">
            <w:pPr>
              <w:jc w:val="center"/>
              <w:rPr>
                <w:rFonts w:eastAsia="Calibri" w:cs="Calibri"/>
                <w:b/>
                <w:bCs/>
                <w:lang w:eastAsia="sl-SI"/>
              </w:rPr>
            </w:pPr>
          </w:p>
        </w:tc>
        <w:tc>
          <w:tcPr>
            <w:tcW w:w="1417" w:type="dxa"/>
            <w:gridSpan w:val="2"/>
            <w:vMerge/>
            <w:tcBorders>
              <w:left w:val="single" w:sz="4" w:space="0" w:color="auto"/>
              <w:bottom w:val="single" w:sz="4" w:space="0" w:color="auto"/>
            </w:tcBorders>
            <w:vAlign w:val="center"/>
          </w:tcPr>
          <w:p w14:paraId="267CC0B1" w14:textId="77777777" w:rsidR="00E638E3" w:rsidRPr="004F5B62" w:rsidRDefault="00E638E3" w:rsidP="00B71733">
            <w:pPr>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E638E3" w:rsidRPr="004F5B62" w:rsidRDefault="00E638E3" w:rsidP="00B71733">
            <w:pPr>
              <w:jc w:val="center"/>
              <w:rPr>
                <w:rFonts w:eastAsia="Calibri" w:cs="Calibri"/>
                <w:b/>
                <w:bCs/>
                <w:lang w:eastAsia="sl-SI"/>
              </w:rPr>
            </w:pPr>
          </w:p>
        </w:tc>
        <w:tc>
          <w:tcPr>
            <w:tcW w:w="1070" w:type="dxa"/>
            <w:vMerge/>
            <w:tcBorders>
              <w:bottom w:val="single" w:sz="4" w:space="0" w:color="auto"/>
              <w:right w:val="single" w:sz="4" w:space="0" w:color="auto"/>
            </w:tcBorders>
            <w:vAlign w:val="center"/>
          </w:tcPr>
          <w:p w14:paraId="5FF45209" w14:textId="77777777" w:rsidR="00E638E3" w:rsidRPr="004F5B62" w:rsidRDefault="00E638E3" w:rsidP="00B71733">
            <w:pPr>
              <w:jc w:val="center"/>
              <w:rPr>
                <w:rFonts w:eastAsia="Calibri" w:cs="Calibri"/>
                <w:b/>
                <w:bCs/>
                <w:lang w:eastAsia="sl-SI"/>
              </w:rPr>
            </w:pPr>
          </w:p>
        </w:tc>
      </w:tr>
      <w:tr w:rsidR="005A11E4" w:rsidRPr="0049183D" w14:paraId="6194853B" w14:textId="77777777" w:rsidTr="0B44B878">
        <w:tc>
          <w:tcPr>
            <w:tcW w:w="9690" w:type="dxa"/>
            <w:gridSpan w:val="19"/>
          </w:tcPr>
          <w:p w14:paraId="73ECE184" w14:textId="77777777" w:rsidR="005A11E4" w:rsidRPr="004F5B62" w:rsidRDefault="005A11E4" w:rsidP="00B71733">
            <w:pPr>
              <w:rPr>
                <w:rFonts w:eastAsia="Calibri" w:cs="Calibri"/>
                <w:b/>
                <w:bCs/>
                <w:lang w:eastAsia="sl-SI"/>
              </w:rPr>
            </w:pPr>
          </w:p>
        </w:tc>
      </w:tr>
      <w:tr w:rsidR="005A11E4" w:rsidRPr="0049183D" w14:paraId="695F6595" w14:textId="77777777" w:rsidTr="0B44B878">
        <w:tc>
          <w:tcPr>
            <w:tcW w:w="3305" w:type="dxa"/>
            <w:gridSpan w:val="5"/>
          </w:tcPr>
          <w:p w14:paraId="19C80114" w14:textId="77777777" w:rsidR="005A11E4" w:rsidRPr="004F5B62" w:rsidRDefault="005A11E4" w:rsidP="00B71733">
            <w:pPr>
              <w:rPr>
                <w:rFonts w:eastAsia="Calibri" w:cs="Calibri"/>
                <w:b/>
                <w:lang w:eastAsia="sl-SI"/>
              </w:rPr>
            </w:pPr>
            <w:r w:rsidRPr="004F5B62">
              <w:rPr>
                <w:rFonts w:eastAsia="Calibri" w:cs="Calibri"/>
                <w:b/>
                <w:lang w:eastAsia="sl-SI"/>
              </w:rPr>
              <w:t>Nosilec predmeta / Course coordinator:</w:t>
            </w:r>
          </w:p>
        </w:tc>
        <w:tc>
          <w:tcPr>
            <w:tcW w:w="6385" w:type="dxa"/>
            <w:gridSpan w:val="14"/>
            <w:tcBorders>
              <w:top w:val="single" w:sz="4" w:space="0" w:color="auto"/>
              <w:left w:val="single" w:sz="4" w:space="0" w:color="auto"/>
              <w:bottom w:val="single" w:sz="4" w:space="0" w:color="auto"/>
              <w:right w:val="single" w:sz="4" w:space="0" w:color="auto"/>
            </w:tcBorders>
          </w:tcPr>
          <w:p w14:paraId="28DE0B2C" w14:textId="7E8A7B76" w:rsidR="005A11E4" w:rsidRPr="00A719BA" w:rsidRDefault="00E638E3" w:rsidP="00B71733">
            <w:pPr>
              <w:rPr>
                <w:rFonts w:asciiTheme="minorHAnsi" w:eastAsia="Calibri" w:hAnsiTheme="minorHAnsi" w:cstheme="minorHAnsi"/>
                <w:b/>
                <w:lang w:eastAsia="sl-SI"/>
              </w:rPr>
            </w:pPr>
            <w:r w:rsidRPr="00A719BA">
              <w:rPr>
                <w:rFonts w:asciiTheme="minorHAnsi" w:eastAsia="Calibri" w:hAnsiTheme="minorHAnsi" w:cstheme="minorHAnsi"/>
                <w:b/>
                <w:lang w:eastAsia="sl-SI"/>
              </w:rPr>
              <w:t>MATJAŽ KNEZ</w:t>
            </w:r>
          </w:p>
        </w:tc>
      </w:tr>
      <w:tr w:rsidR="005A11E4" w:rsidRPr="0049183D" w14:paraId="373ADDF1" w14:textId="77777777" w:rsidTr="0B44B878">
        <w:tc>
          <w:tcPr>
            <w:tcW w:w="9690" w:type="dxa"/>
            <w:gridSpan w:val="19"/>
          </w:tcPr>
          <w:p w14:paraId="0BC8F3BA" w14:textId="77777777" w:rsidR="005A11E4" w:rsidRPr="004F5B62" w:rsidRDefault="005A11E4" w:rsidP="00B71733">
            <w:pPr>
              <w:jc w:val="both"/>
              <w:rPr>
                <w:rFonts w:eastAsia="Calibri" w:cs="Calibri"/>
                <w:lang w:eastAsia="sl-SI"/>
              </w:rPr>
            </w:pPr>
          </w:p>
        </w:tc>
      </w:tr>
      <w:tr w:rsidR="005A11E4" w:rsidRPr="0049183D" w14:paraId="2546E5AF" w14:textId="77777777" w:rsidTr="0B44B878">
        <w:tc>
          <w:tcPr>
            <w:tcW w:w="2296" w:type="dxa"/>
            <w:gridSpan w:val="3"/>
            <w:vMerge w:val="restart"/>
          </w:tcPr>
          <w:p w14:paraId="6861494E" w14:textId="77777777" w:rsidR="005A11E4" w:rsidRPr="004F5B62" w:rsidRDefault="005A11E4" w:rsidP="00B71733">
            <w:pPr>
              <w:rPr>
                <w:rFonts w:eastAsia="Calibri" w:cs="Calibri"/>
                <w:lang w:eastAsia="sl-SI"/>
              </w:rPr>
            </w:pPr>
            <w:r w:rsidRPr="004F5B62">
              <w:rPr>
                <w:rFonts w:eastAsia="Calibri" w:cs="Calibri"/>
                <w:b/>
                <w:lang w:eastAsia="sl-SI"/>
              </w:rPr>
              <w:t>Jeziki /Languages:</w:t>
            </w:r>
          </w:p>
        </w:tc>
        <w:tc>
          <w:tcPr>
            <w:tcW w:w="2421" w:type="dxa"/>
            <w:gridSpan w:val="5"/>
          </w:tcPr>
          <w:p w14:paraId="77461E9B" w14:textId="77777777" w:rsidR="005A11E4" w:rsidRPr="004F5B62" w:rsidRDefault="005A11E4" w:rsidP="00B71733">
            <w:pPr>
              <w:jc w:val="right"/>
              <w:rPr>
                <w:rFonts w:eastAsia="Calibri" w:cs="Calibri"/>
                <w:b/>
                <w:lang w:eastAsia="sl-SI"/>
              </w:rPr>
            </w:pPr>
            <w:r w:rsidRPr="004F5B62">
              <w:rPr>
                <w:rFonts w:eastAsia="Calibri" w:cs="Calibri"/>
                <w:b/>
                <w:lang w:eastAsia="sl-SI"/>
              </w:rPr>
              <w:t>Predavanja / Lectures:</w:t>
            </w:r>
          </w:p>
        </w:tc>
        <w:tc>
          <w:tcPr>
            <w:tcW w:w="4973" w:type="dxa"/>
            <w:gridSpan w:val="11"/>
            <w:tcBorders>
              <w:top w:val="single" w:sz="4" w:space="0" w:color="auto"/>
              <w:left w:val="single" w:sz="4" w:space="0" w:color="auto"/>
              <w:bottom w:val="single" w:sz="4" w:space="0" w:color="auto"/>
              <w:right w:val="single" w:sz="4" w:space="0" w:color="auto"/>
            </w:tcBorders>
          </w:tcPr>
          <w:p w14:paraId="58112861" w14:textId="0694392F" w:rsidR="005A11E4" w:rsidRPr="004F5B62" w:rsidRDefault="00B1469E" w:rsidP="00B71733">
            <w:pPr>
              <w:jc w:val="both"/>
              <w:rPr>
                <w:rFonts w:eastAsia="Calibri"/>
                <w:lang w:eastAsia="sl-SI"/>
              </w:rPr>
            </w:pPr>
            <w:r w:rsidRPr="004F5B62">
              <w:rPr>
                <w:rFonts w:eastAsia="Calibri"/>
                <w:lang w:eastAsia="sl-SI"/>
              </w:rPr>
              <w:t>SLOVENSKI/SLOVENE</w:t>
            </w:r>
          </w:p>
        </w:tc>
      </w:tr>
      <w:tr w:rsidR="005A11E4" w:rsidRPr="0049183D" w14:paraId="0712B376" w14:textId="77777777" w:rsidTr="0B44B878">
        <w:trPr>
          <w:trHeight w:val="215"/>
        </w:trPr>
        <w:tc>
          <w:tcPr>
            <w:tcW w:w="2296" w:type="dxa"/>
            <w:gridSpan w:val="3"/>
            <w:vMerge/>
            <w:vAlign w:val="center"/>
          </w:tcPr>
          <w:p w14:paraId="2BE63940" w14:textId="77777777" w:rsidR="005A11E4" w:rsidRPr="004F5B62" w:rsidRDefault="005A11E4" w:rsidP="00B71733">
            <w:pPr>
              <w:rPr>
                <w:rFonts w:eastAsia="Calibri" w:cs="Calibri"/>
                <w:b/>
                <w:bCs/>
                <w:lang w:eastAsia="sl-SI"/>
              </w:rPr>
            </w:pPr>
          </w:p>
        </w:tc>
        <w:tc>
          <w:tcPr>
            <w:tcW w:w="2421" w:type="dxa"/>
            <w:gridSpan w:val="5"/>
          </w:tcPr>
          <w:p w14:paraId="3A2F1B73" w14:textId="77777777" w:rsidR="005A11E4" w:rsidRPr="004F5B62" w:rsidRDefault="005A11E4" w:rsidP="00B71733">
            <w:pPr>
              <w:jc w:val="right"/>
              <w:rPr>
                <w:rFonts w:eastAsia="Calibri" w:cs="Calibri"/>
                <w:b/>
                <w:lang w:eastAsia="sl-SI"/>
              </w:rPr>
            </w:pPr>
            <w:r w:rsidRPr="004F5B62">
              <w:rPr>
                <w:rFonts w:eastAsia="Calibri" w:cs="Calibri"/>
                <w:b/>
                <w:lang w:eastAsia="sl-SI"/>
              </w:rPr>
              <w:t>Vaje / Tutorial:</w:t>
            </w:r>
          </w:p>
        </w:tc>
        <w:tc>
          <w:tcPr>
            <w:tcW w:w="4973" w:type="dxa"/>
            <w:gridSpan w:val="11"/>
            <w:tcBorders>
              <w:top w:val="single" w:sz="4" w:space="0" w:color="auto"/>
              <w:left w:val="single" w:sz="4" w:space="0" w:color="auto"/>
              <w:bottom w:val="single" w:sz="4" w:space="0" w:color="auto"/>
              <w:right w:val="single" w:sz="4" w:space="0" w:color="auto"/>
            </w:tcBorders>
          </w:tcPr>
          <w:p w14:paraId="3C3CE464" w14:textId="58266DBC" w:rsidR="005A11E4" w:rsidRPr="004F5B62" w:rsidRDefault="00B1469E" w:rsidP="00B71733">
            <w:pPr>
              <w:jc w:val="both"/>
              <w:rPr>
                <w:rFonts w:eastAsia="Calibri"/>
                <w:lang w:eastAsia="sl-SI"/>
              </w:rPr>
            </w:pPr>
            <w:r w:rsidRPr="004F5B62">
              <w:rPr>
                <w:rFonts w:eastAsia="Calibri"/>
                <w:lang w:eastAsia="sl-SI"/>
              </w:rPr>
              <w:t>SLOVENSKI/SLOVENE</w:t>
            </w:r>
          </w:p>
        </w:tc>
      </w:tr>
      <w:tr w:rsidR="005A11E4" w:rsidRPr="0049183D" w14:paraId="0BB418C6" w14:textId="77777777" w:rsidTr="0B44B878">
        <w:tc>
          <w:tcPr>
            <w:tcW w:w="4726" w:type="dxa"/>
            <w:gridSpan w:val="9"/>
            <w:tcBorders>
              <w:top w:val="nil"/>
              <w:left w:val="nil"/>
              <w:bottom w:val="single" w:sz="4" w:space="0" w:color="auto"/>
              <w:right w:val="nil"/>
            </w:tcBorders>
          </w:tcPr>
          <w:p w14:paraId="737B7541" w14:textId="77777777" w:rsidR="005A11E4" w:rsidRPr="004F5B62" w:rsidRDefault="005A11E4" w:rsidP="00B71733">
            <w:pPr>
              <w:rPr>
                <w:rFonts w:eastAsia="Calibri" w:cs="Calibri"/>
                <w:b/>
                <w:bCs/>
                <w:lang w:eastAsia="sl-SI"/>
              </w:rPr>
            </w:pPr>
          </w:p>
          <w:p w14:paraId="624E3213" w14:textId="77777777" w:rsidR="005A11E4" w:rsidRPr="004F5B62" w:rsidRDefault="005A11E4" w:rsidP="00B71733">
            <w:pPr>
              <w:rPr>
                <w:rFonts w:eastAsia="Calibri" w:cs="Calibri"/>
                <w:b/>
                <w:lang w:eastAsia="sl-SI"/>
              </w:rPr>
            </w:pPr>
            <w:r w:rsidRPr="004F5B62">
              <w:rPr>
                <w:rFonts w:eastAsia="Calibri" w:cs="Calibri"/>
                <w:b/>
                <w:lang w:eastAsia="sl-SI"/>
              </w:rPr>
              <w:t>Pogoji za vključitev v delo oz. za opravljanje študijskih obveznosti:</w:t>
            </w:r>
          </w:p>
        </w:tc>
        <w:tc>
          <w:tcPr>
            <w:tcW w:w="143" w:type="dxa"/>
          </w:tcPr>
          <w:p w14:paraId="6CE3FFA8" w14:textId="77777777" w:rsidR="005A11E4" w:rsidRPr="004F5B62" w:rsidRDefault="005A11E4" w:rsidP="00B71733">
            <w:pPr>
              <w:rPr>
                <w:rFonts w:eastAsia="Calibri" w:cs="Calibri"/>
                <w:b/>
                <w:lang w:eastAsia="sl-SI"/>
              </w:rPr>
            </w:pPr>
          </w:p>
          <w:p w14:paraId="01D3BA6F" w14:textId="77777777" w:rsidR="005A11E4" w:rsidRPr="004F5B62" w:rsidRDefault="005A11E4" w:rsidP="00B71733">
            <w:pPr>
              <w:rPr>
                <w:rFonts w:eastAsia="Calibri" w:cs="Calibri"/>
                <w:b/>
                <w:lang w:eastAsia="sl-SI"/>
              </w:rPr>
            </w:pPr>
          </w:p>
        </w:tc>
        <w:tc>
          <w:tcPr>
            <w:tcW w:w="4821" w:type="dxa"/>
            <w:gridSpan w:val="9"/>
            <w:tcBorders>
              <w:top w:val="nil"/>
              <w:left w:val="nil"/>
              <w:bottom w:val="single" w:sz="4" w:space="0" w:color="auto"/>
              <w:right w:val="nil"/>
            </w:tcBorders>
          </w:tcPr>
          <w:p w14:paraId="32A3E51B" w14:textId="77777777" w:rsidR="005A11E4" w:rsidRPr="004F5B62" w:rsidRDefault="005A11E4" w:rsidP="00B71733">
            <w:pPr>
              <w:rPr>
                <w:rFonts w:eastAsia="Calibri" w:cs="Calibri"/>
                <w:b/>
                <w:lang w:eastAsia="sl-SI"/>
              </w:rPr>
            </w:pPr>
          </w:p>
          <w:p w14:paraId="5498F9CD" w14:textId="77777777" w:rsidR="005A11E4" w:rsidRPr="004F5B62" w:rsidRDefault="005A11E4" w:rsidP="00B71733">
            <w:pPr>
              <w:rPr>
                <w:rFonts w:eastAsia="Calibri" w:cs="Calibri"/>
                <w:b/>
                <w:lang w:eastAsia="sl-SI"/>
              </w:rPr>
            </w:pPr>
            <w:r w:rsidRPr="004F5B62">
              <w:rPr>
                <w:rFonts w:eastAsia="Calibri" w:cs="Calibri"/>
                <w:b/>
                <w:lang w:eastAsia="sl-SI"/>
              </w:rPr>
              <w:t>Prerequisites for enrolling in the course or for performing study obligations:</w:t>
            </w:r>
          </w:p>
        </w:tc>
      </w:tr>
      <w:tr w:rsidR="005A11E4" w:rsidRPr="0049183D" w14:paraId="273ADA0E" w14:textId="77777777" w:rsidTr="0B44B878">
        <w:trPr>
          <w:trHeight w:val="275"/>
        </w:trPr>
        <w:tc>
          <w:tcPr>
            <w:tcW w:w="4726" w:type="dxa"/>
            <w:gridSpan w:val="9"/>
            <w:tcBorders>
              <w:top w:val="single" w:sz="4" w:space="0" w:color="auto"/>
              <w:left w:val="single" w:sz="4" w:space="0" w:color="auto"/>
              <w:bottom w:val="single" w:sz="4" w:space="0" w:color="auto"/>
              <w:right w:val="single" w:sz="4" w:space="0" w:color="auto"/>
            </w:tcBorders>
          </w:tcPr>
          <w:p w14:paraId="37A37BFD" w14:textId="7E9ABB9E" w:rsidR="005A11E4" w:rsidRPr="004F5B62" w:rsidRDefault="00B1469E" w:rsidP="00B71733">
            <w:pPr>
              <w:rPr>
                <w:rFonts w:eastAsia="Calibri"/>
                <w:lang w:eastAsia="sl-SI"/>
              </w:rPr>
            </w:pPr>
            <w:r w:rsidRPr="004F5B62">
              <w:rPr>
                <w:rFonts w:eastAsia="Calibri"/>
                <w:lang w:eastAsia="sl-SI"/>
              </w:rPr>
              <w:t>Ni pogojev.</w:t>
            </w:r>
          </w:p>
        </w:tc>
        <w:tc>
          <w:tcPr>
            <w:tcW w:w="143" w:type="dxa"/>
            <w:tcBorders>
              <w:top w:val="nil"/>
              <w:left w:val="single" w:sz="4" w:space="0" w:color="auto"/>
              <w:bottom w:val="nil"/>
              <w:right w:val="single" w:sz="4" w:space="0" w:color="auto"/>
            </w:tcBorders>
          </w:tcPr>
          <w:p w14:paraId="15D85F45" w14:textId="77777777" w:rsidR="005A11E4" w:rsidRPr="004F5B62" w:rsidRDefault="005A11E4" w:rsidP="00B71733">
            <w:pPr>
              <w:rPr>
                <w:rFonts w:eastAsia="Calibri"/>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28CBA30C" w14:textId="06B5EEEA" w:rsidR="005A11E4" w:rsidRPr="004F5B62" w:rsidRDefault="00B1469E" w:rsidP="00B71733">
            <w:pPr>
              <w:rPr>
                <w:rFonts w:eastAsia="Calibri"/>
                <w:lang w:eastAsia="sl-SI"/>
              </w:rPr>
            </w:pPr>
            <w:r w:rsidRPr="004F5B62">
              <w:rPr>
                <w:rFonts w:eastAsia="Calibri"/>
                <w:lang w:eastAsia="sl-SI"/>
              </w:rPr>
              <w:t xml:space="preserve">None. </w:t>
            </w:r>
          </w:p>
        </w:tc>
      </w:tr>
      <w:tr w:rsidR="005A11E4" w:rsidRPr="0049183D" w14:paraId="32638BBD" w14:textId="77777777" w:rsidTr="0B44B878">
        <w:trPr>
          <w:trHeight w:val="137"/>
        </w:trPr>
        <w:tc>
          <w:tcPr>
            <w:tcW w:w="4717" w:type="dxa"/>
            <w:gridSpan w:val="8"/>
            <w:tcBorders>
              <w:top w:val="nil"/>
              <w:left w:val="nil"/>
              <w:bottom w:val="single" w:sz="4" w:space="0" w:color="auto"/>
              <w:right w:val="nil"/>
            </w:tcBorders>
          </w:tcPr>
          <w:p w14:paraId="17CC04A2" w14:textId="77777777" w:rsidR="005A11E4" w:rsidRPr="004F5B62" w:rsidRDefault="005A11E4" w:rsidP="00B71733">
            <w:pPr>
              <w:rPr>
                <w:rFonts w:eastAsia="Calibri" w:cs="Calibri"/>
                <w:b/>
                <w:lang w:eastAsia="sl-SI"/>
              </w:rPr>
            </w:pPr>
          </w:p>
          <w:p w14:paraId="08DA8183" w14:textId="77777777" w:rsidR="005A11E4" w:rsidRPr="004F5B62" w:rsidRDefault="005A11E4" w:rsidP="00B71733">
            <w:pPr>
              <w:rPr>
                <w:rFonts w:eastAsia="Calibri" w:cs="Calibri"/>
                <w:b/>
                <w:lang w:eastAsia="sl-SI"/>
              </w:rPr>
            </w:pPr>
            <w:r w:rsidRPr="004F5B62">
              <w:rPr>
                <w:rFonts w:eastAsia="Calibri" w:cs="Calibri"/>
                <w:b/>
                <w:lang w:eastAsia="sl-SI"/>
              </w:rPr>
              <w:t>Vsebina (kratek pregled učnega načrta):</w:t>
            </w:r>
            <w:r w:rsidRPr="004F5B62">
              <w:rPr>
                <w:rFonts w:eastAsia="Calibri" w:cs="Calibri"/>
                <w:lang w:eastAsia="sl-SI"/>
              </w:rPr>
              <w:t xml:space="preserve"> </w:t>
            </w:r>
          </w:p>
        </w:tc>
        <w:tc>
          <w:tcPr>
            <w:tcW w:w="152" w:type="dxa"/>
            <w:gridSpan w:val="2"/>
            <w:tcBorders>
              <w:bottom w:val="single" w:sz="4" w:space="0" w:color="auto"/>
            </w:tcBorders>
          </w:tcPr>
          <w:p w14:paraId="41A73D15" w14:textId="77777777" w:rsidR="005A11E4" w:rsidRPr="004F5B62" w:rsidRDefault="005A11E4" w:rsidP="00B71733">
            <w:pPr>
              <w:rPr>
                <w:rFonts w:eastAsia="Calibri" w:cs="Calibri"/>
                <w:b/>
                <w:lang w:eastAsia="sl-SI"/>
              </w:rPr>
            </w:pPr>
          </w:p>
        </w:tc>
        <w:tc>
          <w:tcPr>
            <w:tcW w:w="4821" w:type="dxa"/>
            <w:gridSpan w:val="9"/>
            <w:tcBorders>
              <w:top w:val="nil"/>
              <w:left w:val="nil"/>
              <w:bottom w:val="single" w:sz="4" w:space="0" w:color="auto"/>
              <w:right w:val="nil"/>
            </w:tcBorders>
          </w:tcPr>
          <w:p w14:paraId="47DF14D6" w14:textId="77777777" w:rsidR="005A11E4" w:rsidRPr="004F5B62" w:rsidRDefault="005A11E4" w:rsidP="00B71733">
            <w:pPr>
              <w:rPr>
                <w:rFonts w:eastAsia="Calibri" w:cs="Calibri"/>
                <w:b/>
                <w:lang w:eastAsia="sl-SI"/>
              </w:rPr>
            </w:pPr>
          </w:p>
          <w:p w14:paraId="542F3726" w14:textId="77777777" w:rsidR="005A11E4" w:rsidRPr="004F5B62" w:rsidRDefault="005A11E4" w:rsidP="00B71733">
            <w:pPr>
              <w:rPr>
                <w:rFonts w:eastAsia="Calibri" w:cs="Calibri"/>
                <w:b/>
                <w:lang w:eastAsia="sl-SI"/>
              </w:rPr>
            </w:pPr>
            <w:r w:rsidRPr="004F5B62">
              <w:rPr>
                <w:rFonts w:eastAsia="Calibri" w:cs="Calibri"/>
                <w:b/>
                <w:lang w:eastAsia="sl-SI"/>
              </w:rPr>
              <w:t>Content (syllabus outline):</w:t>
            </w:r>
          </w:p>
        </w:tc>
      </w:tr>
      <w:tr w:rsidR="005A11E4" w:rsidRPr="0049183D" w14:paraId="4EDFC7EE" w14:textId="77777777" w:rsidTr="0B44B878">
        <w:trPr>
          <w:trHeight w:val="1119"/>
        </w:trPr>
        <w:tc>
          <w:tcPr>
            <w:tcW w:w="4717" w:type="dxa"/>
            <w:gridSpan w:val="8"/>
            <w:tcBorders>
              <w:top w:val="single" w:sz="4" w:space="0" w:color="auto"/>
              <w:left w:val="single" w:sz="4" w:space="0" w:color="auto"/>
              <w:bottom w:val="single" w:sz="4" w:space="0" w:color="auto"/>
              <w:right w:val="single" w:sz="4" w:space="0" w:color="auto"/>
            </w:tcBorders>
          </w:tcPr>
          <w:p w14:paraId="73884167" w14:textId="77777777" w:rsidR="00462C0A" w:rsidRPr="004F5B62" w:rsidRDefault="00306BA1" w:rsidP="00F20BFD">
            <w:pPr>
              <w:numPr>
                <w:ilvl w:val="1"/>
                <w:numId w:val="16"/>
              </w:numPr>
            </w:pPr>
            <w:r w:rsidRPr="004F5B62">
              <w:rPr>
                <w:rFonts w:eastAsiaTheme="minorEastAsia"/>
                <w:lang w:val="sl-SI"/>
              </w:rPr>
              <w:t>Trajnostno podjetje in izzivi globaliziranega okolja.</w:t>
            </w:r>
          </w:p>
          <w:p w14:paraId="4D4204AD" w14:textId="77777777" w:rsidR="00462C0A" w:rsidRPr="004F5B62" w:rsidRDefault="00306BA1" w:rsidP="00F20BFD">
            <w:pPr>
              <w:numPr>
                <w:ilvl w:val="1"/>
                <w:numId w:val="16"/>
              </w:numPr>
            </w:pPr>
            <w:r w:rsidRPr="004F5B62">
              <w:rPr>
                <w:rFonts w:eastAsiaTheme="minorEastAsia"/>
                <w:lang w:val="sl-SI"/>
              </w:rPr>
              <w:t xml:space="preserve">Trajnostno </w:t>
            </w:r>
            <w:r w:rsidR="00F20BFD" w:rsidRPr="004F5B62">
              <w:rPr>
                <w:lang w:val="sl-SI"/>
              </w:rPr>
              <w:t>p</w:t>
            </w:r>
            <w:r w:rsidRPr="004F5B62">
              <w:rPr>
                <w:rFonts w:eastAsiaTheme="minorEastAsia"/>
                <w:lang w:val="sl-SI"/>
              </w:rPr>
              <w:t>odjetništvo</w:t>
            </w:r>
            <w:r w:rsidR="00F20BFD" w:rsidRPr="004F5B62">
              <w:rPr>
                <w:lang w:val="sl-SI"/>
              </w:rPr>
              <w:t xml:space="preserve"> in faze ustanovitve trajnostnega podjetja.</w:t>
            </w:r>
          </w:p>
          <w:p w14:paraId="78BA4F37" w14:textId="77777777" w:rsidR="00462C0A" w:rsidRPr="004F5B62" w:rsidRDefault="00306BA1" w:rsidP="00F20BFD">
            <w:pPr>
              <w:numPr>
                <w:ilvl w:val="1"/>
                <w:numId w:val="16"/>
              </w:numPr>
            </w:pPr>
            <w:r w:rsidRPr="004F5B62">
              <w:rPr>
                <w:rFonts w:eastAsiaTheme="minorEastAsia"/>
                <w:lang w:val="sl-SI"/>
              </w:rPr>
              <w:t>Osnove poslovanja trajnostnega podjetja.</w:t>
            </w:r>
          </w:p>
          <w:p w14:paraId="1E7DE02D" w14:textId="77777777" w:rsidR="00F20BFD" w:rsidRPr="004F5B62" w:rsidRDefault="00306BA1" w:rsidP="00F20BFD">
            <w:pPr>
              <w:numPr>
                <w:ilvl w:val="1"/>
                <w:numId w:val="16"/>
              </w:numPr>
            </w:pPr>
            <w:r w:rsidRPr="004F5B62">
              <w:rPr>
                <w:rFonts w:eastAsiaTheme="minorEastAsia"/>
                <w:lang w:val="sl-SI"/>
              </w:rPr>
              <w:t>Trajnostni management in trajnostno voditeljstvo.</w:t>
            </w:r>
          </w:p>
          <w:p w14:paraId="5E0DE71A" w14:textId="77777777" w:rsidR="00462C0A" w:rsidRPr="004F5B62" w:rsidRDefault="00F20BFD" w:rsidP="00F20BFD">
            <w:pPr>
              <w:numPr>
                <w:ilvl w:val="1"/>
                <w:numId w:val="16"/>
              </w:numPr>
            </w:pPr>
            <w:r w:rsidRPr="004F5B62">
              <w:rPr>
                <w:lang w:val="sl-SI"/>
              </w:rPr>
              <w:t>P</w:t>
            </w:r>
            <w:r w:rsidRPr="004F5B62">
              <w:rPr>
                <w:rFonts w:eastAsiaTheme="minorEastAsia"/>
                <w:lang w:val="sl-SI"/>
              </w:rPr>
              <w:t>oslovna načela in poslovanje logističnih podjetij</w:t>
            </w:r>
          </w:p>
          <w:p w14:paraId="5667B898" w14:textId="77777777" w:rsidR="00462C0A" w:rsidRPr="004F5B62" w:rsidRDefault="00306BA1" w:rsidP="00F20BFD">
            <w:pPr>
              <w:numPr>
                <w:ilvl w:val="1"/>
                <w:numId w:val="16"/>
              </w:numPr>
            </w:pPr>
            <w:r w:rsidRPr="004F5B62">
              <w:rPr>
                <w:rFonts w:eastAsiaTheme="minorEastAsia"/>
                <w:lang w:val="sl-SI"/>
              </w:rPr>
              <w:t>Model trajnostnega upravljanja in vodenja organizacije.</w:t>
            </w:r>
          </w:p>
          <w:p w14:paraId="64218B7D" w14:textId="77777777" w:rsidR="00F20BFD" w:rsidRPr="004F5B62" w:rsidRDefault="00306BA1" w:rsidP="00F20BFD">
            <w:pPr>
              <w:numPr>
                <w:ilvl w:val="1"/>
                <w:numId w:val="16"/>
              </w:numPr>
            </w:pPr>
            <w:r w:rsidRPr="004F5B62">
              <w:rPr>
                <w:rFonts w:eastAsiaTheme="minorEastAsia"/>
                <w:lang w:val="sl-SI"/>
              </w:rPr>
              <w:t>Trajnostna uspešnost podjetja.</w:t>
            </w:r>
            <w:r w:rsidRPr="004F5B62">
              <w:rPr>
                <w:rFonts w:eastAsiaTheme="minorEastAsia"/>
              </w:rPr>
              <w:t xml:space="preserve"> </w:t>
            </w:r>
          </w:p>
          <w:p w14:paraId="75F1264E" w14:textId="77777777" w:rsidR="00462C0A" w:rsidRPr="004F5B62" w:rsidRDefault="00306BA1" w:rsidP="00F20BFD">
            <w:pPr>
              <w:numPr>
                <w:ilvl w:val="1"/>
                <w:numId w:val="16"/>
              </w:numPr>
            </w:pPr>
            <w:r w:rsidRPr="004F5B62">
              <w:rPr>
                <w:rFonts w:eastAsiaTheme="minorEastAsia"/>
                <w:lang w:val="sl-SI"/>
              </w:rPr>
              <w:lastRenderedPageBreak/>
              <w:t>uvajanje načel trajnostnega razvoja v poslovanje logističnih podjetij</w:t>
            </w:r>
            <w:r w:rsidR="00F20BFD" w:rsidRPr="004F5B62">
              <w:rPr>
                <w:lang w:val="sl-SI"/>
              </w:rPr>
              <w:t xml:space="preserve"> </w:t>
            </w:r>
            <w:r w:rsidRPr="004F5B62">
              <w:rPr>
                <w:rFonts w:eastAsiaTheme="minorEastAsia"/>
                <w:lang w:val="sl-SI"/>
              </w:rPr>
              <w:t>in iskanje poslovnih priložnosti v zeleni logistiki. </w:t>
            </w:r>
          </w:p>
          <w:p w14:paraId="625112B6" w14:textId="08A673B9" w:rsidR="00F20BFD" w:rsidRPr="004F5B62" w:rsidRDefault="00F20BFD" w:rsidP="00F20BFD">
            <w:pPr>
              <w:pStyle w:val="Default"/>
              <w:numPr>
                <w:ilvl w:val="0"/>
                <w:numId w:val="16"/>
              </w:numPr>
              <w:autoSpaceDE/>
              <w:autoSpaceDN/>
              <w:adjustRightInd/>
              <w:rPr>
                <w:rFonts w:asciiTheme="minorHAnsi" w:hAnsiTheme="minorHAnsi"/>
                <w:color w:val="auto"/>
                <w:sz w:val="22"/>
                <w:szCs w:val="22"/>
              </w:rPr>
            </w:pPr>
          </w:p>
        </w:tc>
        <w:tc>
          <w:tcPr>
            <w:tcW w:w="152" w:type="dxa"/>
            <w:gridSpan w:val="2"/>
            <w:tcBorders>
              <w:top w:val="single" w:sz="4" w:space="0" w:color="auto"/>
              <w:left w:val="single" w:sz="4" w:space="0" w:color="auto"/>
              <w:right w:val="single" w:sz="4" w:space="0" w:color="auto"/>
            </w:tcBorders>
          </w:tcPr>
          <w:p w14:paraId="5B47B472" w14:textId="77777777" w:rsidR="005A11E4" w:rsidRPr="004F5B62" w:rsidRDefault="005A11E4" w:rsidP="00B71733">
            <w:pPr>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15B8807B" w14:textId="0A77A263"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Sustainable company and the challenges of the globalized environment.</w:t>
            </w:r>
          </w:p>
          <w:p w14:paraId="6225A89A" w14:textId="726FDE0F"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Sustainable entrepreneurship and the stages of establishing a sustainable company.</w:t>
            </w:r>
          </w:p>
          <w:p w14:paraId="59C20571" w14:textId="41781ADF"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Business basics of a sustainable company.</w:t>
            </w:r>
          </w:p>
          <w:p w14:paraId="0357B6AB" w14:textId="52533234"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Sustainable management and sustainable leadership.</w:t>
            </w:r>
          </w:p>
          <w:p w14:paraId="57075FD6" w14:textId="5E091B71"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Business principles and operations of logistics companies</w:t>
            </w:r>
          </w:p>
          <w:p w14:paraId="50F48AE7" w14:textId="168BD78F"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Model of sustainable management and management of the organization.</w:t>
            </w:r>
          </w:p>
          <w:p w14:paraId="5081AAEA" w14:textId="648DB522" w:rsidR="00036144" w:rsidRPr="004F5B62" w:rsidRDefault="00036144" w:rsidP="00036144">
            <w:pPr>
              <w:pStyle w:val="Default"/>
              <w:numPr>
                <w:ilvl w:val="0"/>
                <w:numId w:val="16"/>
              </w:numPr>
              <w:jc w:val="both"/>
              <w:rPr>
                <w:rFonts w:ascii="Calibri" w:eastAsiaTheme="minorEastAsia" w:hAnsi="Calibri" w:cs="Times New Roman"/>
                <w:color w:val="auto"/>
                <w:sz w:val="22"/>
                <w:szCs w:val="22"/>
                <w:lang w:eastAsia="en-US"/>
              </w:rPr>
            </w:pPr>
            <w:r w:rsidRPr="004F5B62">
              <w:rPr>
                <w:rFonts w:ascii="Calibri" w:eastAsiaTheme="minorEastAsia" w:hAnsi="Calibri" w:cs="Times New Roman"/>
                <w:color w:val="auto"/>
                <w:sz w:val="22"/>
                <w:szCs w:val="22"/>
                <w:lang w:eastAsia="en-US"/>
              </w:rPr>
              <w:t>Sustainable performance of the company.</w:t>
            </w:r>
          </w:p>
          <w:p w14:paraId="68E25B91" w14:textId="3CEC90F9" w:rsidR="00036144" w:rsidRPr="004F5B62" w:rsidRDefault="00036144" w:rsidP="00036144">
            <w:pPr>
              <w:pStyle w:val="Default"/>
              <w:numPr>
                <w:ilvl w:val="0"/>
                <w:numId w:val="16"/>
              </w:numPr>
              <w:jc w:val="both"/>
              <w:rPr>
                <w:rFonts w:asciiTheme="minorHAnsi" w:hAnsiTheme="minorHAnsi"/>
                <w:b/>
                <w:color w:val="auto"/>
              </w:rPr>
            </w:pPr>
            <w:r w:rsidRPr="004F5B62">
              <w:rPr>
                <w:rFonts w:ascii="Calibri" w:eastAsiaTheme="minorEastAsia" w:hAnsi="Calibri" w:cs="Times New Roman"/>
                <w:color w:val="auto"/>
                <w:sz w:val="22"/>
                <w:szCs w:val="22"/>
                <w:lang w:eastAsia="en-US"/>
              </w:rPr>
              <w:t xml:space="preserve">introducing the principles of sustainable development into the operations of logistics </w:t>
            </w:r>
            <w:r w:rsidRPr="004F5B62">
              <w:rPr>
                <w:rFonts w:ascii="Calibri" w:eastAsiaTheme="minorEastAsia" w:hAnsi="Calibri" w:cs="Times New Roman"/>
                <w:color w:val="auto"/>
                <w:sz w:val="22"/>
                <w:szCs w:val="22"/>
                <w:lang w:eastAsia="en-US"/>
              </w:rPr>
              <w:lastRenderedPageBreak/>
              <w:t>companies and finding business opportunities in green logistics.</w:t>
            </w:r>
          </w:p>
        </w:tc>
      </w:tr>
      <w:tr w:rsidR="005A11E4" w:rsidRPr="0049183D" w14:paraId="50F6CFCC" w14:textId="77777777" w:rsidTr="0B44B878">
        <w:tc>
          <w:tcPr>
            <w:tcW w:w="9690" w:type="dxa"/>
            <w:gridSpan w:val="19"/>
            <w:tcBorders>
              <w:bottom w:val="single" w:sz="4" w:space="0" w:color="auto"/>
            </w:tcBorders>
          </w:tcPr>
          <w:p w14:paraId="4C4D6A60" w14:textId="39AE1C70" w:rsidR="005A11E4" w:rsidRPr="004F5B62" w:rsidRDefault="005A11E4" w:rsidP="00B71733">
            <w:pPr>
              <w:jc w:val="both"/>
              <w:rPr>
                <w:rFonts w:eastAsia="Calibri" w:cs="Calibri"/>
                <w:b/>
                <w:lang w:eastAsia="sl-SI"/>
              </w:rPr>
            </w:pPr>
            <w:r w:rsidRPr="004F5B62">
              <w:rPr>
                <w:rFonts w:eastAsia="Calibri" w:cs="Calibri"/>
                <w:lang w:eastAsia="sl-SI"/>
              </w:rPr>
              <w:lastRenderedPageBreak/>
              <w:br w:type="page"/>
            </w:r>
            <w:r w:rsidRPr="004F5B62">
              <w:rPr>
                <w:rFonts w:eastAsia="Calibri" w:cs="Calibri"/>
                <w:b/>
                <w:lang w:eastAsia="sl-SI"/>
              </w:rPr>
              <w:t>Temeljni literatura in viri / Reading materials:</w:t>
            </w:r>
          </w:p>
        </w:tc>
      </w:tr>
      <w:tr w:rsidR="00E638E3" w:rsidRPr="0049183D" w14:paraId="166E7B56" w14:textId="77777777" w:rsidTr="0B44B878">
        <w:trPr>
          <w:trHeight w:val="1198"/>
        </w:trPr>
        <w:tc>
          <w:tcPr>
            <w:tcW w:w="9690" w:type="dxa"/>
            <w:gridSpan w:val="19"/>
            <w:tcBorders>
              <w:top w:val="single" w:sz="4" w:space="0" w:color="auto"/>
              <w:left w:val="single" w:sz="4" w:space="0" w:color="auto"/>
              <w:bottom w:val="single" w:sz="4" w:space="0" w:color="auto"/>
              <w:right w:val="single" w:sz="4" w:space="0" w:color="auto"/>
            </w:tcBorders>
          </w:tcPr>
          <w:tbl>
            <w:tblPr>
              <w:tblW w:w="8960" w:type="dxa"/>
              <w:tblLayout w:type="fixed"/>
              <w:tblCellMar>
                <w:left w:w="70" w:type="dxa"/>
                <w:right w:w="70" w:type="dxa"/>
              </w:tblCellMar>
              <w:tblLook w:val="04A0" w:firstRow="1" w:lastRow="0" w:firstColumn="1" w:lastColumn="0" w:noHBand="0" w:noVBand="1"/>
            </w:tblPr>
            <w:tblGrid>
              <w:gridCol w:w="8960"/>
            </w:tblGrid>
            <w:tr w:rsidR="004A7105" w:rsidRPr="004A7105" w14:paraId="4E7FC6A6" w14:textId="77777777" w:rsidTr="004A7105">
              <w:trPr>
                <w:trHeight w:val="600"/>
              </w:trPr>
              <w:tc>
                <w:tcPr>
                  <w:tcW w:w="8960" w:type="dxa"/>
                  <w:tcBorders>
                    <w:top w:val="nil"/>
                    <w:left w:val="nil"/>
                    <w:bottom w:val="nil"/>
                    <w:right w:val="nil"/>
                  </w:tcBorders>
                  <w:shd w:val="clear" w:color="auto" w:fill="auto"/>
                  <w:vAlign w:val="bottom"/>
                  <w:hideMark/>
                </w:tcPr>
                <w:p w14:paraId="053E9FA9"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 xml:space="preserve">Muneer, T., Kolhe, M. L. &amp; Doyle, A. (Eds.). (2017). </w:t>
                  </w:r>
                  <w:r w:rsidRPr="00C16CC3">
                    <w:rPr>
                      <w:rFonts w:asciiTheme="minorHAnsi" w:hAnsiTheme="minorHAnsi" w:cstheme="minorHAnsi"/>
                      <w:i/>
                      <w:iCs/>
                      <w:sz w:val="22"/>
                      <w:szCs w:val="22"/>
                      <w:lang w:val="sl-SI" w:eastAsia="sl-SI"/>
                    </w:rPr>
                    <w:t>Electric vehicles: prospects and challenges</w:t>
                  </w:r>
                  <w:r w:rsidRPr="00C16CC3">
                    <w:rPr>
                      <w:rFonts w:asciiTheme="minorHAnsi" w:hAnsiTheme="minorHAnsi" w:cstheme="minorHAnsi"/>
                      <w:sz w:val="22"/>
                      <w:szCs w:val="22"/>
                      <w:lang w:val="sl-SI" w:eastAsia="sl-SI"/>
                    </w:rPr>
                    <w:t>. Elsevier.</w:t>
                  </w:r>
                </w:p>
              </w:tc>
            </w:tr>
            <w:tr w:rsidR="004A7105" w:rsidRPr="004A7105" w14:paraId="42C0E6AA" w14:textId="77777777" w:rsidTr="004A7105">
              <w:trPr>
                <w:trHeight w:val="660"/>
              </w:trPr>
              <w:tc>
                <w:tcPr>
                  <w:tcW w:w="8960" w:type="dxa"/>
                  <w:tcBorders>
                    <w:top w:val="nil"/>
                    <w:left w:val="nil"/>
                    <w:bottom w:val="nil"/>
                    <w:right w:val="nil"/>
                  </w:tcBorders>
                  <w:shd w:val="clear" w:color="auto" w:fill="auto"/>
                  <w:vAlign w:val="bottom"/>
                  <w:hideMark/>
                </w:tcPr>
                <w:p w14:paraId="16F4A73F" w14:textId="77777777" w:rsidR="004A7105" w:rsidRPr="00C16CC3" w:rsidRDefault="004A7105" w:rsidP="004A7105">
                  <w:pPr>
                    <w:rPr>
                      <w:rFonts w:asciiTheme="minorHAnsi" w:hAnsiTheme="minorHAnsi" w:cstheme="minorHAnsi"/>
                      <w:i/>
                      <w:iCs/>
                      <w:sz w:val="22"/>
                      <w:szCs w:val="22"/>
                      <w:lang w:val="sl-SI" w:eastAsia="sl-SI"/>
                    </w:rPr>
                  </w:pPr>
                  <w:r w:rsidRPr="00C16CC3">
                    <w:rPr>
                      <w:rFonts w:asciiTheme="minorHAnsi" w:hAnsiTheme="minorHAnsi" w:cstheme="minorHAnsi"/>
                      <w:sz w:val="22"/>
                      <w:szCs w:val="22"/>
                      <w:lang w:val="sl-SI" w:eastAsia="sl-SI"/>
                    </w:rPr>
                    <w:t>McKinnon, A., Browne, M. &amp; Whiteing, A. (Eds.). (2012).</w:t>
                  </w:r>
                  <w:r w:rsidRPr="00C16CC3">
                    <w:rPr>
                      <w:rFonts w:asciiTheme="minorHAnsi" w:hAnsiTheme="minorHAnsi" w:cstheme="minorHAnsi"/>
                      <w:i/>
                      <w:iCs/>
                      <w:sz w:val="22"/>
                      <w:szCs w:val="22"/>
                      <w:lang w:val="sl-SI" w:eastAsia="sl-SI"/>
                    </w:rPr>
                    <w:t xml:space="preserve"> Green logistics: improving the environmental sustainability of logistics</w:t>
                  </w:r>
                  <w:r w:rsidRPr="00C16CC3">
                    <w:rPr>
                      <w:rFonts w:asciiTheme="minorHAnsi" w:hAnsiTheme="minorHAnsi" w:cstheme="minorHAnsi"/>
                      <w:sz w:val="22"/>
                      <w:szCs w:val="22"/>
                      <w:lang w:val="sl-SI" w:eastAsia="sl-SI"/>
                    </w:rPr>
                    <w:t> (2nd ed.).  Kogan Page.</w:t>
                  </w:r>
                </w:p>
              </w:tc>
            </w:tr>
            <w:tr w:rsidR="004A7105" w:rsidRPr="004A7105" w14:paraId="173CA9E4" w14:textId="77777777" w:rsidTr="004A7105">
              <w:trPr>
                <w:trHeight w:val="660"/>
              </w:trPr>
              <w:tc>
                <w:tcPr>
                  <w:tcW w:w="8960" w:type="dxa"/>
                  <w:tcBorders>
                    <w:top w:val="nil"/>
                    <w:left w:val="nil"/>
                    <w:bottom w:val="nil"/>
                    <w:right w:val="nil"/>
                  </w:tcBorders>
                  <w:shd w:val="clear" w:color="auto" w:fill="auto"/>
                  <w:vAlign w:val="bottom"/>
                  <w:hideMark/>
                </w:tcPr>
                <w:p w14:paraId="7D5DEC3C"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Makower, J. (2009). </w:t>
                  </w:r>
                  <w:r w:rsidRPr="00C16CC3">
                    <w:rPr>
                      <w:rFonts w:asciiTheme="minorHAnsi" w:hAnsiTheme="minorHAnsi" w:cstheme="minorHAnsi"/>
                      <w:i/>
                      <w:iCs/>
                      <w:sz w:val="22"/>
                      <w:szCs w:val="22"/>
                      <w:lang w:val="sl-SI" w:eastAsia="sl-SI"/>
                    </w:rPr>
                    <w:t>Strategies for green economy: opportunities and challenges in the new world of business</w:t>
                  </w:r>
                  <w:r w:rsidRPr="00C16CC3">
                    <w:rPr>
                      <w:rFonts w:asciiTheme="minorHAnsi" w:hAnsiTheme="minorHAnsi" w:cstheme="minorHAnsi"/>
                      <w:sz w:val="22"/>
                      <w:szCs w:val="22"/>
                      <w:lang w:val="sl-SI" w:eastAsia="sl-SI"/>
                    </w:rPr>
                    <w:t>. McGraw Hill.</w:t>
                  </w:r>
                </w:p>
              </w:tc>
            </w:tr>
            <w:tr w:rsidR="004A7105" w:rsidRPr="004A7105" w14:paraId="12B1A862" w14:textId="77777777" w:rsidTr="004A7105">
              <w:trPr>
                <w:trHeight w:val="660"/>
              </w:trPr>
              <w:tc>
                <w:tcPr>
                  <w:tcW w:w="8960" w:type="dxa"/>
                  <w:tcBorders>
                    <w:top w:val="nil"/>
                    <w:left w:val="nil"/>
                    <w:bottom w:val="nil"/>
                    <w:right w:val="nil"/>
                  </w:tcBorders>
                  <w:shd w:val="clear" w:color="auto" w:fill="auto"/>
                  <w:vAlign w:val="bottom"/>
                  <w:hideMark/>
                </w:tcPr>
                <w:p w14:paraId="0D4E5F7B"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MacKinnon, D., Shaw, J., &amp; Docherty, I. (2008). </w:t>
                  </w:r>
                  <w:r w:rsidRPr="00C16CC3">
                    <w:rPr>
                      <w:rFonts w:asciiTheme="minorHAnsi" w:hAnsiTheme="minorHAnsi" w:cstheme="minorHAnsi"/>
                      <w:i/>
                      <w:iCs/>
                      <w:sz w:val="22"/>
                      <w:szCs w:val="22"/>
                      <w:lang w:val="sl-SI" w:eastAsia="sl-SI"/>
                    </w:rPr>
                    <w:t>Diverging mobilities?: devolution, transport and policy innovation</w:t>
                  </w:r>
                  <w:r w:rsidRPr="00C16CC3">
                    <w:rPr>
                      <w:rFonts w:asciiTheme="minorHAnsi" w:hAnsiTheme="minorHAnsi" w:cstheme="minorHAnsi"/>
                      <w:sz w:val="22"/>
                      <w:szCs w:val="22"/>
                      <w:lang w:val="sl-SI" w:eastAsia="sl-SI"/>
                    </w:rPr>
                    <w:t> (1st ed.). Elsevier.</w:t>
                  </w:r>
                </w:p>
              </w:tc>
            </w:tr>
            <w:tr w:rsidR="004A7105" w:rsidRPr="004A7105" w14:paraId="36A9485D" w14:textId="77777777" w:rsidTr="004A7105">
              <w:trPr>
                <w:trHeight w:val="990"/>
              </w:trPr>
              <w:tc>
                <w:tcPr>
                  <w:tcW w:w="8960" w:type="dxa"/>
                  <w:tcBorders>
                    <w:top w:val="nil"/>
                    <w:left w:val="nil"/>
                    <w:bottom w:val="nil"/>
                    <w:right w:val="nil"/>
                  </w:tcBorders>
                  <w:shd w:val="clear" w:color="auto" w:fill="auto"/>
                  <w:vAlign w:val="bottom"/>
                  <w:hideMark/>
                </w:tcPr>
                <w:p w14:paraId="44958201"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Esty, D. C., &amp; Winston, A. S. (2009). </w:t>
                  </w:r>
                  <w:r w:rsidRPr="00C16CC3">
                    <w:rPr>
                      <w:rFonts w:asciiTheme="minorHAnsi" w:hAnsiTheme="minorHAnsi" w:cstheme="minorHAnsi"/>
                      <w:i/>
                      <w:iCs/>
                      <w:sz w:val="22"/>
                      <w:szCs w:val="22"/>
                      <w:lang w:val="sl-SI" w:eastAsia="sl-SI"/>
                    </w:rPr>
                    <w:t>Green to gold: how smart companies use environmental strategy to innovate, create value and build competitive advantage</w:t>
                  </w:r>
                  <w:r w:rsidRPr="00C16CC3">
                    <w:rPr>
                      <w:rFonts w:asciiTheme="minorHAnsi" w:hAnsiTheme="minorHAnsi" w:cstheme="minorHAnsi"/>
                      <w:sz w:val="22"/>
                      <w:szCs w:val="22"/>
                      <w:lang w:val="sl-SI" w:eastAsia="sl-SI"/>
                    </w:rPr>
                    <w:t> (Revised and updated). J. Wiley &amp; sons.</w:t>
                  </w:r>
                </w:p>
              </w:tc>
            </w:tr>
            <w:tr w:rsidR="004A7105" w:rsidRPr="004A7105" w14:paraId="0B73D10A" w14:textId="77777777" w:rsidTr="004A7105">
              <w:trPr>
                <w:trHeight w:val="990"/>
              </w:trPr>
              <w:tc>
                <w:tcPr>
                  <w:tcW w:w="8960" w:type="dxa"/>
                  <w:tcBorders>
                    <w:top w:val="nil"/>
                    <w:left w:val="nil"/>
                    <w:bottom w:val="nil"/>
                    <w:right w:val="nil"/>
                  </w:tcBorders>
                  <w:shd w:val="clear" w:color="auto" w:fill="auto"/>
                  <w:vAlign w:val="bottom"/>
                  <w:hideMark/>
                </w:tcPr>
                <w:p w14:paraId="1749F61F"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Cetinkaya, B., Cuthbertson, R., Ewer, G., Klass-Wissing, T., Piotrowicz, W. &amp; Tyssen, C. (2011). </w:t>
                  </w:r>
                  <w:r w:rsidRPr="00C16CC3">
                    <w:rPr>
                      <w:rFonts w:asciiTheme="minorHAnsi" w:hAnsiTheme="minorHAnsi" w:cstheme="minorHAnsi"/>
                      <w:i/>
                      <w:iCs/>
                      <w:sz w:val="22"/>
                      <w:szCs w:val="22"/>
                      <w:lang w:val="sl-SI" w:eastAsia="sl-SI"/>
                    </w:rPr>
                    <w:t>Sustainable supply chain management: practical ideas for moving towards best practice</w:t>
                  </w:r>
                  <w:r w:rsidRPr="00C16CC3">
                    <w:rPr>
                      <w:rFonts w:asciiTheme="minorHAnsi" w:hAnsiTheme="minorHAnsi" w:cstheme="minorHAnsi"/>
                      <w:sz w:val="22"/>
                      <w:szCs w:val="22"/>
                      <w:lang w:val="sl-SI" w:eastAsia="sl-SI"/>
                    </w:rPr>
                    <w:t>. Springer.</w:t>
                  </w:r>
                </w:p>
              </w:tc>
            </w:tr>
            <w:tr w:rsidR="004A7105" w:rsidRPr="004A7105" w14:paraId="7C26BFE3" w14:textId="77777777" w:rsidTr="004A7105">
              <w:trPr>
                <w:trHeight w:val="660"/>
              </w:trPr>
              <w:tc>
                <w:tcPr>
                  <w:tcW w:w="8960" w:type="dxa"/>
                  <w:tcBorders>
                    <w:top w:val="nil"/>
                    <w:left w:val="nil"/>
                    <w:bottom w:val="nil"/>
                    <w:right w:val="nil"/>
                  </w:tcBorders>
                  <w:shd w:val="clear" w:color="auto" w:fill="auto"/>
                  <w:vAlign w:val="bottom"/>
                  <w:hideMark/>
                </w:tcPr>
                <w:p w14:paraId="752734F0" w14:textId="77777777" w:rsidR="004A7105" w:rsidRPr="00C16CC3" w:rsidRDefault="004A7105" w:rsidP="004A7105">
                  <w:pPr>
                    <w:rPr>
                      <w:rFonts w:asciiTheme="minorHAnsi" w:hAnsiTheme="minorHAnsi" w:cstheme="minorHAnsi"/>
                      <w:sz w:val="22"/>
                      <w:szCs w:val="22"/>
                      <w:lang w:val="sl-SI" w:eastAsia="sl-SI"/>
                    </w:rPr>
                  </w:pPr>
                  <w:r w:rsidRPr="00C16CC3">
                    <w:rPr>
                      <w:rFonts w:asciiTheme="minorHAnsi" w:hAnsiTheme="minorHAnsi" w:cstheme="minorHAnsi"/>
                      <w:sz w:val="22"/>
                      <w:szCs w:val="22"/>
                      <w:lang w:val="sl-SI" w:eastAsia="sl-SI"/>
                    </w:rPr>
                    <w:t>Wang, H.-F., &amp; Gupta, S. M. (2011). </w:t>
                  </w:r>
                  <w:r w:rsidRPr="00C16CC3">
                    <w:rPr>
                      <w:rFonts w:asciiTheme="minorHAnsi" w:hAnsiTheme="minorHAnsi" w:cstheme="minorHAnsi"/>
                      <w:i/>
                      <w:iCs/>
                      <w:sz w:val="22"/>
                      <w:szCs w:val="22"/>
                      <w:lang w:val="sl-SI" w:eastAsia="sl-SI"/>
                    </w:rPr>
                    <w:t>Green supply chain: product life cycle approach</w:t>
                  </w:r>
                  <w:r w:rsidRPr="00C16CC3">
                    <w:rPr>
                      <w:rFonts w:asciiTheme="minorHAnsi" w:hAnsiTheme="minorHAnsi" w:cstheme="minorHAnsi"/>
                      <w:sz w:val="22"/>
                      <w:szCs w:val="22"/>
                      <w:lang w:val="sl-SI" w:eastAsia="sl-SI"/>
                    </w:rPr>
                    <w:t>. McGraw Hill.</w:t>
                  </w:r>
                </w:p>
              </w:tc>
            </w:tr>
          </w:tbl>
          <w:p w14:paraId="184E7F18" w14:textId="25C3366D" w:rsidR="00E638E3" w:rsidRPr="004F5B62" w:rsidRDefault="00E638E3" w:rsidP="00E638E3">
            <w:pPr>
              <w:jc w:val="both"/>
              <w:rPr>
                <w:rFonts w:eastAsia="Calibri" w:cs="Arial"/>
                <w:lang w:eastAsia="sl-SI"/>
              </w:rPr>
            </w:pPr>
          </w:p>
        </w:tc>
      </w:tr>
      <w:tr w:rsidR="00E638E3" w:rsidRPr="0049183D" w14:paraId="17101D27" w14:textId="77777777" w:rsidTr="0B44B878">
        <w:trPr>
          <w:trHeight w:val="73"/>
        </w:trPr>
        <w:tc>
          <w:tcPr>
            <w:tcW w:w="4717" w:type="dxa"/>
            <w:gridSpan w:val="8"/>
            <w:tcBorders>
              <w:top w:val="single" w:sz="4" w:space="0" w:color="auto"/>
              <w:left w:val="nil"/>
              <w:bottom w:val="single" w:sz="4" w:space="0" w:color="auto"/>
              <w:right w:val="nil"/>
            </w:tcBorders>
          </w:tcPr>
          <w:p w14:paraId="277E4DE3" w14:textId="77777777" w:rsidR="00E638E3" w:rsidRPr="004F5B62" w:rsidRDefault="00E638E3" w:rsidP="00E638E3">
            <w:pPr>
              <w:rPr>
                <w:rFonts w:eastAsia="Calibri" w:cs="Calibri"/>
                <w:b/>
                <w:bCs/>
                <w:lang w:eastAsia="sl-SI"/>
              </w:rPr>
            </w:pPr>
          </w:p>
          <w:p w14:paraId="337EC76C" w14:textId="77777777" w:rsidR="00E638E3" w:rsidRPr="004F5B62" w:rsidRDefault="00E638E3" w:rsidP="00E638E3">
            <w:pPr>
              <w:rPr>
                <w:rFonts w:eastAsia="Calibri" w:cs="Calibri"/>
                <w:b/>
                <w:lang w:eastAsia="sl-SI"/>
              </w:rPr>
            </w:pPr>
            <w:r w:rsidRPr="004F5B62">
              <w:rPr>
                <w:rFonts w:eastAsia="Calibri" w:cs="Calibri"/>
                <w:b/>
                <w:lang w:eastAsia="sl-SI"/>
              </w:rPr>
              <w:t>Cilji in kompetence:</w:t>
            </w:r>
          </w:p>
        </w:tc>
        <w:tc>
          <w:tcPr>
            <w:tcW w:w="152" w:type="dxa"/>
            <w:gridSpan w:val="2"/>
            <w:tcBorders>
              <w:top w:val="single" w:sz="4" w:space="0" w:color="auto"/>
            </w:tcBorders>
          </w:tcPr>
          <w:p w14:paraId="21B5386D" w14:textId="77777777" w:rsidR="00E638E3" w:rsidRPr="004F5B62" w:rsidRDefault="00E638E3" w:rsidP="00E638E3">
            <w:pPr>
              <w:rPr>
                <w:rFonts w:eastAsia="Calibri" w:cs="Calibri"/>
                <w:b/>
                <w:lang w:eastAsia="sl-SI"/>
              </w:rPr>
            </w:pPr>
          </w:p>
        </w:tc>
        <w:tc>
          <w:tcPr>
            <w:tcW w:w="4821" w:type="dxa"/>
            <w:gridSpan w:val="9"/>
            <w:tcBorders>
              <w:top w:val="single" w:sz="4" w:space="0" w:color="auto"/>
              <w:left w:val="nil"/>
              <w:bottom w:val="single" w:sz="4" w:space="0" w:color="auto"/>
              <w:right w:val="nil"/>
            </w:tcBorders>
          </w:tcPr>
          <w:p w14:paraId="40427E4C" w14:textId="77777777" w:rsidR="00E638E3" w:rsidRPr="004F5B62" w:rsidRDefault="00E638E3" w:rsidP="00E638E3">
            <w:pPr>
              <w:rPr>
                <w:rFonts w:eastAsia="Calibri" w:cs="Calibri"/>
                <w:b/>
                <w:lang w:eastAsia="sl-SI"/>
              </w:rPr>
            </w:pPr>
          </w:p>
          <w:p w14:paraId="51F3F523" w14:textId="77777777" w:rsidR="00E638E3" w:rsidRPr="004F5B62" w:rsidRDefault="00E638E3" w:rsidP="00E638E3">
            <w:pPr>
              <w:rPr>
                <w:rFonts w:eastAsia="Calibri" w:cs="Calibri"/>
                <w:b/>
                <w:lang w:eastAsia="sl-SI"/>
              </w:rPr>
            </w:pPr>
            <w:r w:rsidRPr="004F5B62">
              <w:rPr>
                <w:rFonts w:eastAsia="Calibri" w:cs="Calibri"/>
                <w:b/>
                <w:lang w:val="en-GB" w:eastAsia="sl-SI"/>
              </w:rPr>
              <w:t>Objectives and competences</w:t>
            </w:r>
            <w:r w:rsidRPr="004F5B62">
              <w:rPr>
                <w:rFonts w:eastAsia="Calibri" w:cs="Calibri"/>
                <w:b/>
                <w:lang w:eastAsia="sl-SI"/>
              </w:rPr>
              <w:t>:</w:t>
            </w:r>
          </w:p>
        </w:tc>
      </w:tr>
      <w:tr w:rsidR="00E638E3" w:rsidRPr="0049183D" w14:paraId="572FDB32" w14:textId="77777777" w:rsidTr="0B44B878">
        <w:trPr>
          <w:trHeight w:val="778"/>
        </w:trPr>
        <w:tc>
          <w:tcPr>
            <w:tcW w:w="4717" w:type="dxa"/>
            <w:gridSpan w:val="8"/>
            <w:tcBorders>
              <w:top w:val="single" w:sz="4" w:space="0" w:color="auto"/>
              <w:left w:val="single" w:sz="4" w:space="0" w:color="auto"/>
              <w:bottom w:val="single" w:sz="4" w:space="0" w:color="auto"/>
              <w:right w:val="single" w:sz="4" w:space="0" w:color="auto"/>
            </w:tcBorders>
          </w:tcPr>
          <w:p w14:paraId="7619F3B3" w14:textId="1627094C" w:rsidR="00E638E3" w:rsidRPr="004F5B62" w:rsidRDefault="00E638E3" w:rsidP="00E638E3">
            <w:pPr>
              <w:autoSpaceDE w:val="0"/>
              <w:autoSpaceDN w:val="0"/>
              <w:adjustRightInd w:val="0"/>
              <w:rPr>
                <w:rFonts w:asciiTheme="minorHAnsi" w:hAnsiTheme="minorHAnsi"/>
                <w:lang w:eastAsia="sl-SI"/>
              </w:rPr>
            </w:pPr>
            <w:r w:rsidRPr="004F5B62">
              <w:rPr>
                <w:rFonts w:asciiTheme="minorHAnsi" w:hAnsiTheme="minorHAnsi"/>
                <w:lang w:eastAsia="sl-SI"/>
              </w:rPr>
              <w:t xml:space="preserve">Študenti pri tem predmetu: </w:t>
            </w:r>
          </w:p>
          <w:p w14:paraId="729C5377" w14:textId="6DF99699" w:rsidR="000F03D7" w:rsidRPr="004F5B62" w:rsidRDefault="000F03D7" w:rsidP="00E638E3">
            <w:pPr>
              <w:autoSpaceDE w:val="0"/>
              <w:autoSpaceDN w:val="0"/>
              <w:adjustRightInd w:val="0"/>
              <w:rPr>
                <w:rFonts w:asciiTheme="minorHAnsi" w:hAnsiTheme="minorHAnsi"/>
                <w:b/>
                <w:lang w:eastAsia="sl-SI"/>
              </w:rPr>
            </w:pPr>
            <w:r w:rsidRPr="004F5B62">
              <w:rPr>
                <w:rFonts w:asciiTheme="minorHAnsi" w:hAnsiTheme="minorHAnsi"/>
                <w:lang w:eastAsia="sl-SI"/>
              </w:rPr>
              <w:t>Cilji:</w:t>
            </w:r>
          </w:p>
          <w:p w14:paraId="7D2799D9" w14:textId="77777777" w:rsidR="000F03D7" w:rsidRPr="004F5B62" w:rsidRDefault="000F03D7" w:rsidP="000F03D7"/>
          <w:p w14:paraId="73460BF2" w14:textId="77777777" w:rsidR="000F03D7" w:rsidRPr="004F5B62" w:rsidRDefault="000F03D7" w:rsidP="000F03D7">
            <w:pPr>
              <w:pStyle w:val="paragraph"/>
              <w:numPr>
                <w:ilvl w:val="0"/>
                <w:numId w:val="17"/>
              </w:numPr>
              <w:spacing w:before="0" w:beforeAutospacing="0" w:after="0" w:afterAutospacing="0"/>
              <w:jc w:val="both"/>
              <w:textAlignment w:val="baseline"/>
              <w:rPr>
                <w:rFonts w:ascii="Calibri" w:hAnsi="Calibri" w:cs="Calibri"/>
                <w:sz w:val="22"/>
                <w:szCs w:val="22"/>
              </w:rPr>
            </w:pPr>
            <w:r w:rsidRPr="004F5B62">
              <w:rPr>
                <w:rStyle w:val="normaltextrun"/>
                <w:rFonts w:cs="Calibri"/>
                <w:sz w:val="22"/>
                <w:szCs w:val="22"/>
                <w:lang w:val="sl-SI"/>
              </w:rPr>
              <w:t>utrdijo in nadgradijo teoretično znanje na področju trajnostnih poslovnih načel in procesov,</w:t>
            </w:r>
            <w:r w:rsidRPr="004F5B62">
              <w:rPr>
                <w:rStyle w:val="eop"/>
                <w:rFonts w:ascii="Calibri" w:hAnsi="Calibri" w:cs="Calibri"/>
                <w:sz w:val="22"/>
                <w:szCs w:val="22"/>
              </w:rPr>
              <w:t> </w:t>
            </w:r>
          </w:p>
          <w:p w14:paraId="61453554" w14:textId="77777777" w:rsidR="000F03D7" w:rsidRPr="004F5B62" w:rsidRDefault="000F03D7" w:rsidP="000F03D7">
            <w:pPr>
              <w:pStyle w:val="paragraph"/>
              <w:numPr>
                <w:ilvl w:val="0"/>
                <w:numId w:val="17"/>
              </w:numPr>
              <w:spacing w:before="0" w:beforeAutospacing="0" w:after="0" w:afterAutospacing="0"/>
              <w:jc w:val="both"/>
              <w:textAlignment w:val="baseline"/>
              <w:rPr>
                <w:rStyle w:val="normaltextrun"/>
                <w:lang w:val="sl-SI"/>
              </w:rPr>
            </w:pPr>
            <w:r w:rsidRPr="004F5B62">
              <w:rPr>
                <w:rStyle w:val="normaltextrun"/>
                <w:rFonts w:cs="Calibri"/>
                <w:sz w:val="22"/>
                <w:szCs w:val="22"/>
                <w:lang w:val="sl-SI"/>
              </w:rPr>
              <w:t>se usposobijo uporabljati teoretično znanje s področja poslovanja trajnostnih logističnih podjetij,</w:t>
            </w:r>
            <w:r w:rsidRPr="004F5B62">
              <w:rPr>
                <w:rStyle w:val="normaltextrun"/>
                <w:lang w:val="sl-SI"/>
              </w:rPr>
              <w:t> </w:t>
            </w:r>
          </w:p>
          <w:p w14:paraId="371BBF71" w14:textId="77777777" w:rsidR="000F03D7" w:rsidRPr="004F5B62" w:rsidRDefault="000F03D7" w:rsidP="000F03D7">
            <w:pPr>
              <w:pStyle w:val="paragraph"/>
              <w:numPr>
                <w:ilvl w:val="0"/>
                <w:numId w:val="17"/>
              </w:numPr>
              <w:spacing w:before="0" w:beforeAutospacing="0" w:after="0" w:afterAutospacing="0"/>
              <w:jc w:val="both"/>
              <w:textAlignment w:val="baseline"/>
              <w:rPr>
                <w:rStyle w:val="normaltextrun"/>
                <w:lang w:val="sl-SI"/>
              </w:rPr>
            </w:pPr>
            <w:r w:rsidRPr="004F5B62">
              <w:rPr>
                <w:rStyle w:val="normaltextrun"/>
                <w:rFonts w:cs="Calibri"/>
                <w:sz w:val="22"/>
                <w:szCs w:val="22"/>
                <w:lang w:val="sl-SI"/>
              </w:rPr>
              <w:t>spoznajo orodja za pripravo poslovnih načrtov,</w:t>
            </w:r>
            <w:r w:rsidRPr="004F5B62">
              <w:rPr>
                <w:rStyle w:val="normaltextrun"/>
                <w:lang w:val="sl-SI"/>
              </w:rPr>
              <w:t> </w:t>
            </w:r>
          </w:p>
          <w:p w14:paraId="3E8C296B" w14:textId="77777777" w:rsidR="000F03D7" w:rsidRPr="004F5B62" w:rsidRDefault="000F03D7" w:rsidP="000F03D7">
            <w:pPr>
              <w:pStyle w:val="paragraph"/>
              <w:numPr>
                <w:ilvl w:val="0"/>
                <w:numId w:val="17"/>
              </w:numPr>
              <w:spacing w:before="0" w:beforeAutospacing="0" w:after="0" w:afterAutospacing="0"/>
              <w:jc w:val="both"/>
              <w:textAlignment w:val="baseline"/>
              <w:rPr>
                <w:rFonts w:ascii="Calibri" w:hAnsi="Calibri" w:cs="Calibri"/>
                <w:sz w:val="22"/>
                <w:szCs w:val="22"/>
              </w:rPr>
            </w:pPr>
            <w:r w:rsidRPr="004F5B62">
              <w:rPr>
                <w:rStyle w:val="normaltextrun"/>
                <w:rFonts w:cs="Calibri"/>
                <w:sz w:val="22"/>
                <w:szCs w:val="22"/>
                <w:lang w:val="sl-SI"/>
              </w:rPr>
              <w:t>spoznajo integracijo načel  trajnostnega razvoja, krožnega gospodarstva in deljene ekonomije v poslovanje logističnih podjetij,</w:t>
            </w:r>
            <w:r w:rsidRPr="004F5B62">
              <w:rPr>
                <w:rStyle w:val="eop"/>
                <w:rFonts w:ascii="Calibri" w:hAnsi="Calibri" w:cs="Calibri"/>
                <w:sz w:val="22"/>
                <w:szCs w:val="22"/>
              </w:rPr>
              <w:t> </w:t>
            </w:r>
          </w:p>
          <w:p w14:paraId="221DBFC5" w14:textId="77777777" w:rsidR="000F03D7" w:rsidRPr="004F5B62" w:rsidRDefault="000F03D7" w:rsidP="000F03D7">
            <w:pPr>
              <w:pStyle w:val="paragraph"/>
              <w:numPr>
                <w:ilvl w:val="0"/>
                <w:numId w:val="17"/>
              </w:numPr>
              <w:spacing w:before="0" w:beforeAutospacing="0" w:after="0" w:afterAutospacing="0"/>
              <w:jc w:val="both"/>
              <w:textAlignment w:val="baseline"/>
              <w:rPr>
                <w:rStyle w:val="normaltextrun"/>
                <w:lang w:val="sl-SI"/>
              </w:rPr>
            </w:pPr>
            <w:r w:rsidRPr="004F5B62">
              <w:rPr>
                <w:rStyle w:val="normaltextrun"/>
                <w:rFonts w:cs="Calibri"/>
                <w:sz w:val="22"/>
                <w:szCs w:val="22"/>
                <w:lang w:val="sl-SI"/>
              </w:rPr>
              <w:t>se usposobijo za razvoj trajnostnih organizacijskih politik, v upravljanje podjetij in oskrbovalnih verig.</w:t>
            </w:r>
            <w:r w:rsidRPr="004F5B62">
              <w:rPr>
                <w:rStyle w:val="normaltextrun"/>
                <w:lang w:val="sl-SI"/>
              </w:rPr>
              <w:t> </w:t>
            </w:r>
          </w:p>
          <w:p w14:paraId="69E85EB4" w14:textId="77777777" w:rsidR="00CB7916" w:rsidRPr="004F5B62" w:rsidRDefault="00CB7916" w:rsidP="000F03D7">
            <w:pPr>
              <w:rPr>
                <w:rFonts w:asciiTheme="minorHAnsi" w:hAnsiTheme="minorHAnsi"/>
                <w:b/>
              </w:rPr>
            </w:pPr>
          </w:p>
          <w:p w14:paraId="204C77F9" w14:textId="7E56FB01" w:rsidR="000F03D7" w:rsidRPr="004F5B62" w:rsidRDefault="000F03D7" w:rsidP="000F03D7">
            <w:pPr>
              <w:rPr>
                <w:rFonts w:asciiTheme="minorHAnsi" w:hAnsiTheme="minorHAnsi"/>
                <w:b/>
              </w:rPr>
            </w:pPr>
            <w:r w:rsidRPr="004F5B62">
              <w:rPr>
                <w:rFonts w:asciiTheme="minorHAnsi" w:hAnsiTheme="minorHAnsi"/>
                <w:b/>
              </w:rPr>
              <w:t>Kompetence:</w:t>
            </w:r>
          </w:p>
          <w:p w14:paraId="141A06B8" w14:textId="05A151B8"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Pridobijo razumevanje za kritično analizo procesov v podjetju.</w:t>
            </w:r>
          </w:p>
          <w:p w14:paraId="45808D7F"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Pridobijo razumevanje procesnega razmišljanja ob upoštevanju osnovnih trajnostnih usmeritev.  </w:t>
            </w:r>
          </w:p>
          <w:p w14:paraId="6FC11401"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lastRenderedPageBreak/>
              <w:t>Pridobijo sposobnost iskanja in sinteze novih informacij s področja trajnostnega poslovanja, v literaturi in praksi.  </w:t>
            </w:r>
          </w:p>
          <w:p w14:paraId="5D296685"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Se naučijo povezovanja različnih znanj in postopkov ter pomena uporabe strokovne literature o trajnostnem delovanju, poslovnih priložnosti in poslovnih načrtov. </w:t>
            </w:r>
          </w:p>
          <w:p w14:paraId="184ED569"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Znajo identificirati problem skozi prizmo trajnostnega delovanja ter podati izboljšave oz. rešitve zanj in pridobijo praktične izkušnje na področju delovanja trajnostnih podjetij.</w:t>
            </w:r>
          </w:p>
          <w:p w14:paraId="235DCF80"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Nadgrajujejo sposobnost uporabe informacijske tehnologije, dela v skupinah in samostojnega učenja.  </w:t>
            </w:r>
          </w:p>
          <w:p w14:paraId="60EE175F" w14:textId="77777777" w:rsidR="00352DC7" w:rsidRPr="004F5B62" w:rsidRDefault="00352DC7" w:rsidP="00313323">
            <w:pPr>
              <w:pStyle w:val="paragraph"/>
              <w:numPr>
                <w:ilvl w:val="0"/>
                <w:numId w:val="17"/>
              </w:numPr>
              <w:spacing w:before="0" w:beforeAutospacing="0" w:after="0" w:afterAutospacing="0"/>
              <w:jc w:val="both"/>
              <w:textAlignment w:val="baseline"/>
              <w:rPr>
                <w:rStyle w:val="normaltextrun"/>
                <w:rFonts w:cs="Calibri"/>
                <w:sz w:val="22"/>
                <w:szCs w:val="22"/>
                <w:lang w:val="sl-SI"/>
              </w:rPr>
            </w:pPr>
            <w:r w:rsidRPr="004F5B62">
              <w:rPr>
                <w:rStyle w:val="normaltextrun"/>
                <w:rFonts w:cs="Calibri"/>
                <w:sz w:val="22"/>
                <w:szCs w:val="22"/>
                <w:lang w:val="sl-SI"/>
              </w:rPr>
              <w:t>Razvijajo komunikacijske sposobnosti za učinkovito strokovno komuniciranje.  </w:t>
            </w:r>
          </w:p>
          <w:p w14:paraId="582EF3EA" w14:textId="1062CFCA" w:rsidR="000F03D7" w:rsidRPr="004F5B62" w:rsidRDefault="00352DC7" w:rsidP="00313323">
            <w:pPr>
              <w:pStyle w:val="paragraph"/>
              <w:numPr>
                <w:ilvl w:val="0"/>
                <w:numId w:val="17"/>
              </w:numPr>
              <w:spacing w:before="0" w:beforeAutospacing="0" w:after="0" w:afterAutospacing="0"/>
              <w:jc w:val="both"/>
              <w:textAlignment w:val="baseline"/>
            </w:pPr>
            <w:r w:rsidRPr="004F5B62">
              <w:rPr>
                <w:rStyle w:val="normaltextrun"/>
                <w:rFonts w:cs="Calibri"/>
                <w:sz w:val="22"/>
                <w:szCs w:val="22"/>
                <w:lang w:val="sl-SI"/>
              </w:rPr>
              <w:t>Lahko deluje dokaj samostojno, ob podanih navodilih in delnem nadzoru.</w:t>
            </w:r>
            <w:r w:rsidRPr="004F5B62">
              <w:rPr>
                <w:rStyle w:val="normaltextrun"/>
              </w:rPr>
              <w:t> </w:t>
            </w:r>
          </w:p>
        </w:tc>
        <w:tc>
          <w:tcPr>
            <w:tcW w:w="152" w:type="dxa"/>
            <w:gridSpan w:val="2"/>
            <w:tcBorders>
              <w:top w:val="nil"/>
              <w:left w:val="single" w:sz="4" w:space="0" w:color="auto"/>
              <w:bottom w:val="nil"/>
              <w:right w:val="single" w:sz="4" w:space="0" w:color="auto"/>
            </w:tcBorders>
          </w:tcPr>
          <w:p w14:paraId="1C5043AF" w14:textId="77777777" w:rsidR="00E638E3" w:rsidRPr="004F5B62" w:rsidRDefault="00E638E3" w:rsidP="00E638E3">
            <w:pPr>
              <w:rPr>
                <w:rFonts w:eastAsia="Calibri" w:cs="Arial"/>
                <w:b/>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4ABD3119" w14:textId="77777777" w:rsidR="00E638E3" w:rsidRPr="004F5B62" w:rsidRDefault="00E638E3" w:rsidP="00E638E3">
            <w:pPr>
              <w:autoSpaceDE w:val="0"/>
              <w:autoSpaceDN w:val="0"/>
              <w:adjustRightInd w:val="0"/>
              <w:jc w:val="both"/>
              <w:rPr>
                <w:rFonts w:asciiTheme="minorHAnsi" w:hAnsiTheme="minorHAnsi"/>
                <w:b/>
                <w:lang w:val="en-US" w:eastAsia="sl-SI"/>
              </w:rPr>
            </w:pPr>
            <w:r w:rsidRPr="004F5B62">
              <w:rPr>
                <w:rFonts w:asciiTheme="minorHAnsi" w:hAnsiTheme="minorHAnsi"/>
                <w:lang w:val="en-US" w:eastAsia="sl-SI"/>
              </w:rPr>
              <w:t xml:space="preserve">In this course students: </w:t>
            </w:r>
          </w:p>
          <w:p w14:paraId="67912F51" w14:textId="77777777" w:rsidR="0091460B" w:rsidRDefault="0091460B" w:rsidP="00CB7916">
            <w:pPr>
              <w:rPr>
                <w:rStyle w:val="normaltextrun"/>
                <w:rFonts w:cs="Calibri"/>
              </w:rPr>
            </w:pPr>
          </w:p>
          <w:p w14:paraId="049E9C41" w14:textId="6705E0E2" w:rsidR="00CB7916" w:rsidRPr="004F5B62" w:rsidRDefault="00CB7916" w:rsidP="00CB7916">
            <w:pPr>
              <w:rPr>
                <w:rStyle w:val="normaltextrun"/>
                <w:rFonts w:cs="Calibri"/>
              </w:rPr>
            </w:pPr>
            <w:r w:rsidRPr="004F5B62">
              <w:rPr>
                <w:rStyle w:val="normaltextrun"/>
                <w:rFonts w:cs="Calibri"/>
              </w:rPr>
              <w:t>• consolidate and upgrade theoretical knowledge in the field of sustainable business principles and processes,</w:t>
            </w:r>
          </w:p>
          <w:p w14:paraId="53DD1419" w14:textId="77777777" w:rsidR="00CB7916" w:rsidRPr="004F5B62" w:rsidRDefault="00CB7916" w:rsidP="00CB7916">
            <w:pPr>
              <w:rPr>
                <w:rStyle w:val="normaltextrun"/>
                <w:rFonts w:cs="Calibri"/>
              </w:rPr>
            </w:pPr>
            <w:r w:rsidRPr="004F5B62">
              <w:rPr>
                <w:rStyle w:val="normaltextrun"/>
                <w:rFonts w:cs="Calibri"/>
              </w:rPr>
              <w:t>• are trained to use theoretical knowledge in the field of operations of sustainable logistics companies,</w:t>
            </w:r>
          </w:p>
          <w:p w14:paraId="6358DC8B" w14:textId="77777777" w:rsidR="00CB7916" w:rsidRPr="004F5B62" w:rsidRDefault="00CB7916" w:rsidP="00CB7916">
            <w:pPr>
              <w:rPr>
                <w:rStyle w:val="normaltextrun"/>
                <w:rFonts w:cs="Calibri"/>
              </w:rPr>
            </w:pPr>
            <w:r w:rsidRPr="004F5B62">
              <w:rPr>
                <w:rStyle w:val="normaltextrun"/>
                <w:rFonts w:cs="Calibri"/>
              </w:rPr>
              <w:t>• get to know the tools for preparing business plans,</w:t>
            </w:r>
          </w:p>
          <w:p w14:paraId="6311BC0D" w14:textId="77777777" w:rsidR="00CB7916" w:rsidRPr="004F5B62" w:rsidRDefault="00CB7916" w:rsidP="00CB7916">
            <w:pPr>
              <w:rPr>
                <w:rStyle w:val="normaltextrun"/>
                <w:rFonts w:cs="Calibri"/>
              </w:rPr>
            </w:pPr>
            <w:r w:rsidRPr="004F5B62">
              <w:rPr>
                <w:rStyle w:val="normaltextrun"/>
                <w:rFonts w:cs="Calibri"/>
              </w:rPr>
              <w:t>• learn about the integration of the principles of sustainable development, the circular economy and the shared economy into the operations of logistics companies,</w:t>
            </w:r>
          </w:p>
          <w:p w14:paraId="3A682CB8" w14:textId="77777777" w:rsidR="00CB7916" w:rsidRPr="004F5B62" w:rsidRDefault="00CB7916" w:rsidP="00CB7916">
            <w:pPr>
              <w:rPr>
                <w:rStyle w:val="normaltextrun"/>
                <w:rFonts w:cs="Calibri"/>
              </w:rPr>
            </w:pPr>
            <w:r w:rsidRPr="004F5B62">
              <w:rPr>
                <w:rStyle w:val="normaltextrun"/>
                <w:rFonts w:cs="Calibri"/>
              </w:rPr>
              <w:t>• they are trained in the development of sustainable organizational policies, in the management of companies and supply chains.</w:t>
            </w:r>
          </w:p>
          <w:p w14:paraId="3E2C1F41" w14:textId="77777777" w:rsidR="00CB7916" w:rsidRPr="004F5B62" w:rsidRDefault="00CB7916" w:rsidP="00CB7916">
            <w:pPr>
              <w:rPr>
                <w:rStyle w:val="normaltextrun"/>
                <w:rFonts w:cs="Calibri"/>
              </w:rPr>
            </w:pPr>
          </w:p>
          <w:p w14:paraId="5002744C" w14:textId="77777777" w:rsidR="00CB7916" w:rsidRPr="004F5B62" w:rsidRDefault="00CB7916" w:rsidP="00CB7916">
            <w:pPr>
              <w:rPr>
                <w:rStyle w:val="normaltextrun"/>
                <w:rFonts w:cs="Calibri"/>
                <w:b/>
                <w:bCs/>
              </w:rPr>
            </w:pPr>
            <w:r w:rsidRPr="004F5B62">
              <w:rPr>
                <w:rStyle w:val="normaltextrun"/>
                <w:rFonts w:cs="Calibri"/>
                <w:b/>
                <w:bCs/>
              </w:rPr>
              <w:t>Competences:</w:t>
            </w:r>
          </w:p>
          <w:p w14:paraId="3955186B" w14:textId="77777777" w:rsidR="00313323" w:rsidRPr="004F5B62" w:rsidRDefault="00313323" w:rsidP="00313323">
            <w:pPr>
              <w:rPr>
                <w:rStyle w:val="normaltextrun"/>
                <w:rFonts w:cs="Calibri"/>
              </w:rPr>
            </w:pPr>
            <w:r w:rsidRPr="004F5B62">
              <w:rPr>
                <w:rStyle w:val="normaltextrun"/>
                <w:rFonts w:cs="Calibri"/>
              </w:rPr>
              <w:t>• They gain an understanding for critical analysis of company processes.</w:t>
            </w:r>
          </w:p>
          <w:p w14:paraId="1096825D" w14:textId="77777777" w:rsidR="00313323" w:rsidRPr="004F5B62" w:rsidRDefault="00313323" w:rsidP="00313323">
            <w:pPr>
              <w:rPr>
                <w:rStyle w:val="normaltextrun"/>
                <w:rFonts w:cs="Calibri"/>
              </w:rPr>
            </w:pPr>
            <w:r w:rsidRPr="004F5B62">
              <w:rPr>
                <w:rStyle w:val="normaltextrun"/>
                <w:rFonts w:cs="Calibri"/>
              </w:rPr>
              <w:lastRenderedPageBreak/>
              <w:t>• They gain an understanding of process thinking while taking into account the basic sustainable orientations.</w:t>
            </w:r>
          </w:p>
          <w:p w14:paraId="7913D3D1" w14:textId="77777777" w:rsidR="00313323" w:rsidRPr="004F5B62" w:rsidRDefault="00313323" w:rsidP="00313323">
            <w:pPr>
              <w:rPr>
                <w:rStyle w:val="normaltextrun"/>
                <w:rFonts w:cs="Calibri"/>
              </w:rPr>
            </w:pPr>
            <w:r w:rsidRPr="004F5B62">
              <w:rPr>
                <w:rStyle w:val="normaltextrun"/>
                <w:rFonts w:cs="Calibri"/>
              </w:rPr>
              <w:t>• They acquire the ability to find and synthesize new information in the field of sustainable business, in literature and practice.</w:t>
            </w:r>
          </w:p>
          <w:p w14:paraId="08B1F54F" w14:textId="77777777" w:rsidR="00313323" w:rsidRPr="004F5B62" w:rsidRDefault="00313323" w:rsidP="00313323">
            <w:pPr>
              <w:rPr>
                <w:rStyle w:val="normaltextrun"/>
                <w:rFonts w:cs="Calibri"/>
              </w:rPr>
            </w:pPr>
            <w:r w:rsidRPr="004F5B62">
              <w:rPr>
                <w:rStyle w:val="normaltextrun"/>
                <w:rFonts w:cs="Calibri"/>
              </w:rPr>
              <w:t>• They learn the integration of different knowledge and procedures and the importance of using professional literature on sustainable operations, business opportunities and business plans.</w:t>
            </w:r>
          </w:p>
          <w:p w14:paraId="2E1C9F42" w14:textId="77777777" w:rsidR="00313323" w:rsidRPr="004F5B62" w:rsidRDefault="00313323" w:rsidP="00313323">
            <w:pPr>
              <w:rPr>
                <w:rStyle w:val="normaltextrun"/>
                <w:rFonts w:cs="Calibri"/>
              </w:rPr>
            </w:pPr>
            <w:r w:rsidRPr="004F5B62">
              <w:rPr>
                <w:rStyle w:val="normaltextrun"/>
                <w:rFonts w:cs="Calibri"/>
              </w:rPr>
              <w:t>• They know how to identify a problem through the prism of sustainable operation and provide improvements or solutions for it and gain practical experience in the field of operation of sustainable companies.</w:t>
            </w:r>
          </w:p>
          <w:p w14:paraId="1B166C5D" w14:textId="77777777" w:rsidR="00313323" w:rsidRPr="004F5B62" w:rsidRDefault="00313323" w:rsidP="00313323">
            <w:pPr>
              <w:rPr>
                <w:rStyle w:val="normaltextrun"/>
                <w:rFonts w:cs="Calibri"/>
              </w:rPr>
            </w:pPr>
            <w:r w:rsidRPr="004F5B62">
              <w:rPr>
                <w:rStyle w:val="normaltextrun"/>
                <w:rFonts w:cs="Calibri"/>
              </w:rPr>
              <w:t>• They improve the ability to use information technology, work in groups and independent learning.</w:t>
            </w:r>
          </w:p>
          <w:p w14:paraId="4647E6E7" w14:textId="77777777" w:rsidR="00313323" w:rsidRPr="004F5B62" w:rsidRDefault="00313323" w:rsidP="00313323">
            <w:pPr>
              <w:rPr>
                <w:rStyle w:val="normaltextrun"/>
                <w:rFonts w:cs="Calibri"/>
              </w:rPr>
            </w:pPr>
            <w:r w:rsidRPr="004F5B62">
              <w:rPr>
                <w:rStyle w:val="normaltextrun"/>
                <w:rFonts w:cs="Calibri"/>
              </w:rPr>
              <w:t>• They develop communication skills for effective professional communication.</w:t>
            </w:r>
          </w:p>
          <w:p w14:paraId="41C5AAA2" w14:textId="4F7211D2" w:rsidR="00CB7916" w:rsidRPr="004F5B62" w:rsidRDefault="00313323" w:rsidP="00313323">
            <w:pPr>
              <w:rPr>
                <w:rFonts w:asciiTheme="minorHAnsi" w:hAnsiTheme="minorHAnsi"/>
                <w:b/>
              </w:rPr>
            </w:pPr>
            <w:r w:rsidRPr="004F5B62">
              <w:rPr>
                <w:rStyle w:val="normaltextrun"/>
                <w:rFonts w:cs="Calibri"/>
              </w:rPr>
              <w:t>• Can work fairly independently, given instructions and partial supervision.</w:t>
            </w:r>
          </w:p>
        </w:tc>
      </w:tr>
      <w:tr w:rsidR="00E638E3" w:rsidRPr="0049183D" w14:paraId="2732D8B1" w14:textId="77777777" w:rsidTr="0B44B878">
        <w:trPr>
          <w:trHeight w:val="117"/>
        </w:trPr>
        <w:tc>
          <w:tcPr>
            <w:tcW w:w="4726" w:type="dxa"/>
            <w:gridSpan w:val="9"/>
            <w:tcBorders>
              <w:top w:val="nil"/>
              <w:left w:val="nil"/>
              <w:bottom w:val="single" w:sz="4" w:space="0" w:color="auto"/>
              <w:right w:val="nil"/>
            </w:tcBorders>
          </w:tcPr>
          <w:p w14:paraId="61F8FEE7" w14:textId="77777777" w:rsidR="00E638E3" w:rsidRPr="004F5B62" w:rsidRDefault="00E638E3" w:rsidP="00E638E3">
            <w:pPr>
              <w:rPr>
                <w:rFonts w:eastAsia="Calibri" w:cs="Calibri"/>
                <w:b/>
                <w:lang w:eastAsia="sl-SI"/>
              </w:rPr>
            </w:pPr>
          </w:p>
          <w:p w14:paraId="2857D9C8" w14:textId="77777777" w:rsidR="00E638E3" w:rsidRPr="004F5B62" w:rsidRDefault="00E638E3" w:rsidP="00E638E3">
            <w:pPr>
              <w:rPr>
                <w:rFonts w:eastAsia="Calibri" w:cs="Calibri"/>
                <w:b/>
                <w:lang w:eastAsia="sl-SI"/>
              </w:rPr>
            </w:pPr>
            <w:r w:rsidRPr="004F5B62">
              <w:rPr>
                <w:rFonts w:eastAsia="Calibri" w:cs="Calibri"/>
                <w:b/>
                <w:lang w:eastAsia="sl-SI"/>
              </w:rPr>
              <w:t>Predvideni študijski rezultati:</w:t>
            </w:r>
          </w:p>
        </w:tc>
        <w:tc>
          <w:tcPr>
            <w:tcW w:w="143" w:type="dxa"/>
          </w:tcPr>
          <w:p w14:paraId="4D4A9CC8" w14:textId="77777777" w:rsidR="00E638E3" w:rsidRPr="004F5B62" w:rsidRDefault="00E638E3" w:rsidP="00E638E3">
            <w:pPr>
              <w:rPr>
                <w:rFonts w:eastAsia="Calibri" w:cs="Calibri"/>
                <w:b/>
                <w:lang w:eastAsia="sl-SI"/>
              </w:rPr>
            </w:pPr>
          </w:p>
          <w:p w14:paraId="426D774D" w14:textId="77777777" w:rsidR="00E638E3" w:rsidRPr="004F5B62" w:rsidRDefault="00E638E3" w:rsidP="00E638E3">
            <w:pPr>
              <w:rPr>
                <w:rFonts w:eastAsia="Calibri" w:cs="Calibri"/>
                <w:b/>
                <w:lang w:eastAsia="sl-SI"/>
              </w:rPr>
            </w:pPr>
          </w:p>
        </w:tc>
        <w:tc>
          <w:tcPr>
            <w:tcW w:w="4821" w:type="dxa"/>
            <w:gridSpan w:val="9"/>
            <w:tcBorders>
              <w:top w:val="nil"/>
              <w:left w:val="nil"/>
              <w:bottom w:val="single" w:sz="4" w:space="0" w:color="auto"/>
              <w:right w:val="nil"/>
            </w:tcBorders>
          </w:tcPr>
          <w:p w14:paraId="7C86AC38" w14:textId="77777777" w:rsidR="00E638E3" w:rsidRPr="004F5B62" w:rsidRDefault="00E638E3" w:rsidP="00E638E3">
            <w:pPr>
              <w:rPr>
                <w:rFonts w:eastAsia="Calibri" w:cs="Calibri"/>
                <w:b/>
                <w:lang w:eastAsia="sl-SI"/>
              </w:rPr>
            </w:pPr>
          </w:p>
          <w:p w14:paraId="5589EC16" w14:textId="77777777" w:rsidR="00E638E3" w:rsidRPr="004F5B62" w:rsidRDefault="00E638E3" w:rsidP="00E638E3">
            <w:pPr>
              <w:rPr>
                <w:rFonts w:eastAsia="Calibri" w:cs="Calibri"/>
                <w:b/>
                <w:lang w:eastAsia="sl-SI"/>
              </w:rPr>
            </w:pPr>
            <w:r w:rsidRPr="004F5B62">
              <w:rPr>
                <w:rFonts w:eastAsia="Calibri" w:cs="Calibri"/>
                <w:b/>
                <w:lang w:eastAsia="sl-SI"/>
              </w:rPr>
              <w:t>Intended learning outcomes:</w:t>
            </w:r>
          </w:p>
        </w:tc>
      </w:tr>
      <w:tr w:rsidR="00E638E3" w:rsidRPr="0049183D" w14:paraId="355E000C" w14:textId="77777777" w:rsidTr="0B44B878">
        <w:trPr>
          <w:trHeight w:val="410"/>
        </w:trPr>
        <w:tc>
          <w:tcPr>
            <w:tcW w:w="4726" w:type="dxa"/>
            <w:gridSpan w:val="9"/>
            <w:tcBorders>
              <w:top w:val="single" w:sz="4" w:space="0" w:color="auto"/>
              <w:left w:val="single" w:sz="4" w:space="0" w:color="auto"/>
              <w:bottom w:val="nil"/>
              <w:right w:val="single" w:sz="4" w:space="0" w:color="auto"/>
            </w:tcBorders>
          </w:tcPr>
          <w:p w14:paraId="46DEA773" w14:textId="7BD3C248" w:rsidR="00E638E3" w:rsidRPr="004F5B62" w:rsidRDefault="00E638E3" w:rsidP="009A486C">
            <w:pPr>
              <w:autoSpaceDE w:val="0"/>
              <w:autoSpaceDN w:val="0"/>
              <w:adjustRightInd w:val="0"/>
              <w:contextualSpacing/>
              <w:rPr>
                <w:rFonts w:asciiTheme="minorHAnsi" w:hAnsiTheme="minorHAnsi"/>
                <w:b/>
                <w:strike/>
              </w:rPr>
            </w:pPr>
          </w:p>
        </w:tc>
        <w:tc>
          <w:tcPr>
            <w:tcW w:w="143" w:type="dxa"/>
            <w:tcBorders>
              <w:top w:val="nil"/>
              <w:left w:val="single" w:sz="4" w:space="0" w:color="auto"/>
              <w:bottom w:val="nil"/>
              <w:right w:val="single" w:sz="4" w:space="0" w:color="auto"/>
            </w:tcBorders>
          </w:tcPr>
          <w:p w14:paraId="1859909D" w14:textId="77777777" w:rsidR="00E638E3" w:rsidRPr="004F5B62" w:rsidRDefault="00E638E3" w:rsidP="00E638E3">
            <w:pPr>
              <w:rPr>
                <w:rFonts w:eastAsia="Calibri" w:cs="Calibri"/>
                <w:lang w:eastAsia="sl-SI"/>
              </w:rPr>
            </w:pPr>
          </w:p>
        </w:tc>
        <w:tc>
          <w:tcPr>
            <w:tcW w:w="4821" w:type="dxa"/>
            <w:gridSpan w:val="9"/>
            <w:tcBorders>
              <w:top w:val="single" w:sz="4" w:space="0" w:color="auto"/>
              <w:left w:val="single" w:sz="4" w:space="0" w:color="auto"/>
              <w:bottom w:val="nil"/>
              <w:right w:val="single" w:sz="4" w:space="0" w:color="auto"/>
            </w:tcBorders>
          </w:tcPr>
          <w:p w14:paraId="06D50644" w14:textId="1BC0F159" w:rsidR="00E638E3" w:rsidRPr="004F5B62" w:rsidRDefault="00E638E3" w:rsidP="009A486C">
            <w:pPr>
              <w:jc w:val="both"/>
              <w:rPr>
                <w:rFonts w:asciiTheme="minorHAnsi" w:hAnsiTheme="minorHAnsi"/>
                <w:b/>
              </w:rPr>
            </w:pPr>
          </w:p>
        </w:tc>
      </w:tr>
      <w:tr w:rsidR="00E638E3" w:rsidRPr="0049183D" w14:paraId="7BF0CAA8" w14:textId="77777777" w:rsidTr="0B44B878">
        <w:trPr>
          <w:trHeight w:val="721"/>
        </w:trPr>
        <w:tc>
          <w:tcPr>
            <w:tcW w:w="4726" w:type="dxa"/>
            <w:gridSpan w:val="9"/>
            <w:tcBorders>
              <w:top w:val="nil"/>
              <w:left w:val="single" w:sz="4" w:space="0" w:color="auto"/>
              <w:bottom w:val="single" w:sz="4" w:space="0" w:color="auto"/>
              <w:right w:val="single" w:sz="4" w:space="0" w:color="auto"/>
            </w:tcBorders>
          </w:tcPr>
          <w:p w14:paraId="05A5C155" w14:textId="77777777" w:rsidR="000E1D83" w:rsidRPr="004F5B62" w:rsidRDefault="000E1D83" w:rsidP="00923630">
            <w:pPr>
              <w:ind w:right="75"/>
              <w:jc w:val="both"/>
              <w:textAlignment w:val="baseline"/>
              <w:rPr>
                <w:rFonts w:ascii="Segoe UI" w:hAnsi="Segoe UI" w:cs="Segoe UI"/>
                <w:b/>
                <w:bCs/>
              </w:rPr>
            </w:pPr>
          </w:p>
          <w:p w14:paraId="407455EB" w14:textId="5DF47127" w:rsidR="00923630" w:rsidRPr="004F5B62" w:rsidRDefault="00923630" w:rsidP="00923630">
            <w:pPr>
              <w:ind w:right="75"/>
              <w:jc w:val="both"/>
              <w:textAlignment w:val="baseline"/>
              <w:rPr>
                <w:rFonts w:ascii="Segoe UI" w:hAnsi="Segoe UI" w:cs="Segoe UI"/>
                <w:b/>
                <w:bCs/>
                <w:sz w:val="18"/>
                <w:szCs w:val="18"/>
              </w:rPr>
            </w:pPr>
            <w:r w:rsidRPr="004F5B62">
              <w:rPr>
                <w:rFonts w:ascii="Segoe UI" w:hAnsi="Segoe UI" w:cs="Segoe UI"/>
                <w:b/>
                <w:bCs/>
                <w:sz w:val="22"/>
                <w:szCs w:val="22"/>
                <w:lang w:val="sl-SI"/>
              </w:rPr>
              <w:t>Študenti</w:t>
            </w:r>
            <w:r w:rsidRPr="004F5B62">
              <w:rPr>
                <w:rFonts w:ascii="Calibri" w:hAnsi="Calibri" w:cs="Calibri"/>
                <w:b/>
                <w:bCs/>
                <w:sz w:val="22"/>
                <w:szCs w:val="22"/>
                <w:lang w:val="sl-SI"/>
              </w:rPr>
              <w:t xml:space="preserve"> ob zaključku predmeta: </w:t>
            </w:r>
            <w:r w:rsidRPr="004F5B62">
              <w:rPr>
                <w:rFonts w:ascii="Calibri" w:hAnsi="Calibri" w:cs="Calibri"/>
                <w:b/>
                <w:bCs/>
                <w:sz w:val="22"/>
                <w:szCs w:val="22"/>
              </w:rPr>
              <w:t> </w:t>
            </w:r>
          </w:p>
          <w:p w14:paraId="4A10DD4E" w14:textId="77777777" w:rsidR="00923630" w:rsidRPr="004F5B62" w:rsidRDefault="00923630" w:rsidP="00923630">
            <w:pPr>
              <w:pStyle w:val="Odstavekseznama"/>
              <w:numPr>
                <w:ilvl w:val="0"/>
                <w:numId w:val="21"/>
              </w:numPr>
            </w:pPr>
            <w:r w:rsidRPr="004F5B62">
              <w:t>obvladajo specifično znanje s področja trajnostega delovanja podjetij v oskrbovalnih verigah,  </w:t>
            </w:r>
          </w:p>
          <w:p w14:paraId="0406D760" w14:textId="77777777" w:rsidR="00923630" w:rsidRPr="004F5B62" w:rsidRDefault="00923630" w:rsidP="00923630">
            <w:pPr>
              <w:pStyle w:val="Odstavekseznama"/>
              <w:numPr>
                <w:ilvl w:val="0"/>
                <w:numId w:val="21"/>
              </w:numPr>
            </w:pPr>
            <w:r w:rsidRPr="004F5B62">
              <w:t>pridobijo poglobljeno znanje na področju  identifikacije, analize, vizualizacije in optimizacije procesov v logistiki skladno s trajnostnimi načeli.   </w:t>
            </w:r>
          </w:p>
          <w:p w14:paraId="15812FC8" w14:textId="77777777" w:rsidR="00923630" w:rsidRPr="004F5B62" w:rsidRDefault="00923630" w:rsidP="00923630">
            <w:pPr>
              <w:pStyle w:val="Odstavekseznama"/>
              <w:numPr>
                <w:ilvl w:val="0"/>
                <w:numId w:val="21"/>
              </w:numPr>
            </w:pPr>
            <w:r w:rsidRPr="004F5B62">
              <w:t>razvijejo sposobnost interpretacije dobljene rešitve, </w:t>
            </w:r>
          </w:p>
          <w:p w14:paraId="1812BE16" w14:textId="77777777" w:rsidR="00923630" w:rsidRPr="004F5B62" w:rsidRDefault="00923630" w:rsidP="00923630">
            <w:pPr>
              <w:pStyle w:val="Odstavekseznama"/>
              <w:numPr>
                <w:ilvl w:val="0"/>
                <w:numId w:val="21"/>
              </w:numPr>
            </w:pPr>
            <w:r w:rsidRPr="004F5B62">
              <w:t>se seznanijo s pripravo trajnostnih poslovnih načrtov, </w:t>
            </w:r>
          </w:p>
          <w:p w14:paraId="22130ED6" w14:textId="77777777" w:rsidR="00923630" w:rsidRPr="004F5B62" w:rsidRDefault="00923630" w:rsidP="00923630">
            <w:pPr>
              <w:pStyle w:val="Odstavekseznama"/>
              <w:numPr>
                <w:ilvl w:val="0"/>
                <w:numId w:val="21"/>
              </w:numPr>
            </w:pPr>
            <w:r w:rsidRPr="004F5B62">
              <w:t>naučijo se prepoznavati poslovne priložnosti na področju trajnostnega delovanja, </w:t>
            </w:r>
          </w:p>
          <w:p w14:paraId="502CEE19" w14:textId="77777777" w:rsidR="00923630" w:rsidRPr="004F5B62" w:rsidRDefault="00923630" w:rsidP="00923630">
            <w:pPr>
              <w:pStyle w:val="Odstavekseznama"/>
              <w:numPr>
                <w:ilvl w:val="0"/>
                <w:numId w:val="21"/>
              </w:numPr>
            </w:pPr>
            <w:r w:rsidRPr="004F5B62">
              <w:t>se usposobijo za nadaljnje proučevanje na  področju trajnostnega delovanja podjetja, </w:t>
            </w:r>
          </w:p>
          <w:p w14:paraId="145CD9A4" w14:textId="5528B313" w:rsidR="00923630" w:rsidRPr="004F5B62" w:rsidRDefault="00923630" w:rsidP="00923630">
            <w:pPr>
              <w:pStyle w:val="Odstavekseznama"/>
              <w:numPr>
                <w:ilvl w:val="0"/>
                <w:numId w:val="21"/>
              </w:numPr>
            </w:pPr>
            <w:r w:rsidRPr="004F5B62">
              <w:t>se zavedajo trajnostnih načel  na področju poslovanja logističnih podjetij. </w:t>
            </w:r>
          </w:p>
        </w:tc>
        <w:tc>
          <w:tcPr>
            <w:tcW w:w="143" w:type="dxa"/>
            <w:tcBorders>
              <w:top w:val="nil"/>
              <w:left w:val="single" w:sz="4" w:space="0" w:color="auto"/>
              <w:bottom w:val="nil"/>
              <w:right w:val="single" w:sz="4" w:space="0" w:color="auto"/>
            </w:tcBorders>
          </w:tcPr>
          <w:p w14:paraId="49161D07" w14:textId="77777777" w:rsidR="00E638E3" w:rsidRPr="004F5B62" w:rsidRDefault="00E638E3" w:rsidP="00E638E3">
            <w:pPr>
              <w:rPr>
                <w:rFonts w:eastAsia="Calibri" w:cs="Calibri"/>
                <w:b/>
                <w:lang w:eastAsia="sl-SI"/>
              </w:rPr>
            </w:pPr>
          </w:p>
        </w:tc>
        <w:tc>
          <w:tcPr>
            <w:tcW w:w="4821" w:type="dxa"/>
            <w:gridSpan w:val="9"/>
            <w:tcBorders>
              <w:top w:val="nil"/>
              <w:left w:val="single" w:sz="4" w:space="0" w:color="auto"/>
              <w:bottom w:val="single" w:sz="4" w:space="0" w:color="auto"/>
              <w:right w:val="single" w:sz="4" w:space="0" w:color="auto"/>
            </w:tcBorders>
          </w:tcPr>
          <w:p w14:paraId="0382A86B" w14:textId="77777777" w:rsidR="001642C0" w:rsidRPr="0003293B" w:rsidRDefault="001642C0" w:rsidP="00E638E3">
            <w:pPr>
              <w:pStyle w:val="Default"/>
              <w:rPr>
                <w:rFonts w:asciiTheme="minorHAnsi" w:hAnsiTheme="minorHAnsi"/>
                <w:color w:val="auto"/>
                <w:sz w:val="22"/>
                <w:szCs w:val="22"/>
              </w:rPr>
            </w:pPr>
          </w:p>
          <w:p w14:paraId="65FE8B1B" w14:textId="5803E56A" w:rsidR="00AE647A" w:rsidRPr="004F5B62" w:rsidRDefault="00AE647A" w:rsidP="00AE647A">
            <w:pPr>
              <w:tabs>
                <w:tab w:val="left" w:pos="227"/>
              </w:tabs>
              <w:rPr>
                <w:rFonts w:eastAsia="Calibri"/>
                <w:b/>
                <w:bCs/>
                <w:lang w:eastAsia="sl-SI"/>
              </w:rPr>
            </w:pPr>
            <w:r w:rsidRPr="004F5B62">
              <w:rPr>
                <w:rFonts w:eastAsia="Calibri"/>
                <w:b/>
                <w:bCs/>
                <w:lang w:eastAsia="sl-SI"/>
              </w:rPr>
              <w:t>Students upon completion of the course:</w:t>
            </w:r>
          </w:p>
          <w:p w14:paraId="712B859D"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master specific knowledge in the field of sustainable operation of companies in supply chains,</w:t>
            </w:r>
          </w:p>
          <w:p w14:paraId="2DB1CD13"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acquire in-depth knowledge in the field of identification, analysis, visualization and optimization of logistics processes in accordance with sustainable principles.</w:t>
            </w:r>
          </w:p>
          <w:p w14:paraId="19152141"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develop the ability to interpret the obtained solution,</w:t>
            </w:r>
          </w:p>
          <w:p w14:paraId="5AA97BCD"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become familiar with the preparation of sustainable business plans,</w:t>
            </w:r>
          </w:p>
          <w:p w14:paraId="32FF425D"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learn to recognize business opportunities in the field of sustainable operations,</w:t>
            </w:r>
          </w:p>
          <w:p w14:paraId="05A1A9ED" w14:textId="77777777"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are trained for further study in the field of sustainable company operation,</w:t>
            </w:r>
          </w:p>
          <w:p w14:paraId="58EC4A72" w14:textId="2600AF28" w:rsidR="00AE647A" w:rsidRPr="004F5B62" w:rsidRDefault="00AE647A" w:rsidP="00AE647A">
            <w:pPr>
              <w:pStyle w:val="Odstavekseznama"/>
              <w:tabs>
                <w:tab w:val="left" w:pos="227"/>
              </w:tabs>
              <w:ind w:left="360"/>
              <w:rPr>
                <w:rFonts w:eastAsia="Calibri"/>
                <w:lang w:eastAsia="sl-SI"/>
              </w:rPr>
            </w:pPr>
            <w:r w:rsidRPr="004F5B62">
              <w:rPr>
                <w:rFonts w:eastAsia="Calibri"/>
                <w:lang w:eastAsia="sl-SI"/>
              </w:rPr>
              <w:t>• they are aware of sustainable principles in the field of operations of logistics companies.</w:t>
            </w:r>
          </w:p>
        </w:tc>
      </w:tr>
      <w:tr w:rsidR="00E638E3" w:rsidRPr="0049183D" w14:paraId="28C61BBA" w14:textId="77777777" w:rsidTr="0B44B878">
        <w:tc>
          <w:tcPr>
            <w:tcW w:w="4726" w:type="dxa"/>
            <w:gridSpan w:val="9"/>
            <w:tcBorders>
              <w:top w:val="nil"/>
              <w:left w:val="nil"/>
              <w:bottom w:val="single" w:sz="4" w:space="0" w:color="auto"/>
              <w:right w:val="nil"/>
            </w:tcBorders>
          </w:tcPr>
          <w:p w14:paraId="5F9B87AA" w14:textId="77777777" w:rsidR="00E638E3" w:rsidRPr="004F5B62" w:rsidRDefault="00E638E3" w:rsidP="00E638E3">
            <w:pPr>
              <w:rPr>
                <w:rFonts w:eastAsia="Calibri" w:cs="Calibri"/>
                <w:b/>
                <w:lang w:eastAsia="sl-SI"/>
              </w:rPr>
            </w:pPr>
          </w:p>
          <w:p w14:paraId="6CB06FAE" w14:textId="77777777" w:rsidR="00E638E3" w:rsidRPr="004F5B62" w:rsidRDefault="00E638E3" w:rsidP="00E638E3">
            <w:pPr>
              <w:rPr>
                <w:rFonts w:eastAsia="Calibri" w:cs="Calibri"/>
                <w:b/>
                <w:lang w:eastAsia="sl-SI"/>
              </w:rPr>
            </w:pPr>
            <w:r w:rsidRPr="004F5B62">
              <w:rPr>
                <w:rFonts w:eastAsia="Calibri" w:cs="Calibri"/>
                <w:b/>
                <w:lang w:eastAsia="sl-SI"/>
              </w:rPr>
              <w:t>Metode poučevanja in učenja:</w:t>
            </w:r>
          </w:p>
        </w:tc>
        <w:tc>
          <w:tcPr>
            <w:tcW w:w="143" w:type="dxa"/>
          </w:tcPr>
          <w:p w14:paraId="47B947C4" w14:textId="77777777" w:rsidR="00E638E3" w:rsidRPr="004F5B62" w:rsidRDefault="00E638E3" w:rsidP="00E638E3">
            <w:pPr>
              <w:rPr>
                <w:rFonts w:eastAsia="Calibri" w:cs="Calibri"/>
                <w:b/>
                <w:lang w:eastAsia="sl-SI"/>
              </w:rPr>
            </w:pPr>
          </w:p>
          <w:p w14:paraId="2A03173A" w14:textId="77777777" w:rsidR="00E638E3" w:rsidRPr="004F5B62" w:rsidRDefault="00E638E3" w:rsidP="00E638E3">
            <w:pPr>
              <w:rPr>
                <w:rFonts w:eastAsia="Calibri" w:cs="Calibri"/>
                <w:b/>
                <w:lang w:eastAsia="sl-SI"/>
              </w:rPr>
            </w:pPr>
          </w:p>
        </w:tc>
        <w:tc>
          <w:tcPr>
            <w:tcW w:w="4821" w:type="dxa"/>
            <w:gridSpan w:val="9"/>
            <w:tcBorders>
              <w:top w:val="nil"/>
              <w:left w:val="nil"/>
              <w:bottom w:val="single" w:sz="4" w:space="0" w:color="auto"/>
              <w:right w:val="nil"/>
            </w:tcBorders>
          </w:tcPr>
          <w:p w14:paraId="539ECA8F" w14:textId="77777777" w:rsidR="00E638E3" w:rsidRPr="004F5B62" w:rsidRDefault="00E638E3" w:rsidP="00E638E3">
            <w:pPr>
              <w:rPr>
                <w:rFonts w:eastAsia="Calibri" w:cs="Calibri"/>
                <w:b/>
                <w:lang w:eastAsia="sl-SI"/>
              </w:rPr>
            </w:pPr>
          </w:p>
          <w:p w14:paraId="0DCDBC86" w14:textId="77777777" w:rsidR="00E638E3" w:rsidRPr="004F5B62" w:rsidRDefault="00E638E3" w:rsidP="00E638E3">
            <w:pPr>
              <w:rPr>
                <w:rFonts w:eastAsia="Calibri" w:cs="Calibri"/>
                <w:b/>
                <w:lang w:eastAsia="sl-SI"/>
              </w:rPr>
            </w:pPr>
            <w:r w:rsidRPr="004F5B62">
              <w:rPr>
                <w:rFonts w:eastAsia="Calibri" w:cs="Calibri"/>
                <w:b/>
                <w:lang w:eastAsia="sl-SI"/>
              </w:rPr>
              <w:t>Learning and teaching methods:</w:t>
            </w:r>
          </w:p>
        </w:tc>
      </w:tr>
      <w:tr w:rsidR="00E638E3" w:rsidRPr="0049183D" w14:paraId="4C66F302" w14:textId="77777777" w:rsidTr="0B44B878">
        <w:trPr>
          <w:trHeight w:val="411"/>
        </w:trPr>
        <w:tc>
          <w:tcPr>
            <w:tcW w:w="4726" w:type="dxa"/>
            <w:gridSpan w:val="9"/>
            <w:tcBorders>
              <w:top w:val="single" w:sz="4" w:space="0" w:color="auto"/>
              <w:left w:val="single" w:sz="4" w:space="0" w:color="auto"/>
              <w:bottom w:val="single" w:sz="4" w:space="0" w:color="auto"/>
              <w:right w:val="single" w:sz="4" w:space="0" w:color="auto"/>
            </w:tcBorders>
          </w:tcPr>
          <w:p w14:paraId="32784A34" w14:textId="77777777" w:rsidR="007D7287" w:rsidRPr="004F5B62" w:rsidRDefault="007D7287" w:rsidP="007D7287">
            <w:pPr>
              <w:autoSpaceDE w:val="0"/>
              <w:autoSpaceDN w:val="0"/>
              <w:adjustRightInd w:val="0"/>
              <w:jc w:val="both"/>
              <w:rPr>
                <w:rFonts w:asciiTheme="minorHAnsi" w:hAnsiTheme="minorHAnsi" w:cs="Calibri"/>
                <w:b/>
                <w:bCs/>
                <w:strike/>
              </w:rPr>
            </w:pPr>
          </w:p>
          <w:p w14:paraId="0F5420DF" w14:textId="77777777" w:rsidR="00B8093A" w:rsidRPr="004F5B62" w:rsidRDefault="00B8093A" w:rsidP="00B8093A">
            <w:pPr>
              <w:pStyle w:val="paragraph"/>
              <w:spacing w:before="0" w:beforeAutospacing="0" w:after="0" w:afterAutospacing="0"/>
              <w:ind w:right="75"/>
              <w:jc w:val="both"/>
              <w:textAlignment w:val="baseline"/>
              <w:rPr>
                <w:rFonts w:ascii="Segoe UI" w:hAnsi="Segoe UI" w:cs="Segoe UI"/>
                <w:sz w:val="18"/>
                <w:szCs w:val="18"/>
              </w:rPr>
            </w:pPr>
            <w:r w:rsidRPr="004F5B62">
              <w:rPr>
                <w:rStyle w:val="normaltextrun"/>
                <w:rFonts w:ascii="Calibri" w:hAnsi="Calibri" w:cs="Calibri"/>
                <w:sz w:val="22"/>
                <w:szCs w:val="22"/>
                <w:lang w:val="sl-SI"/>
              </w:rPr>
              <w:lastRenderedPageBreak/>
              <w:t xml:space="preserve">Predmet vključuje različne metode poučevanja in učenja, kot so: predavanja, diskusijske skupine, video predstavitve in filmi, študije primerov iz prakse, igričarstvo, problemsko učenje in praktično dela skozi simulacije </w:t>
            </w:r>
            <w:r w:rsidRPr="004F5B62">
              <w:rPr>
                <w:rStyle w:val="normaltextrun"/>
                <w:rFonts w:cs="Calibri"/>
                <w:sz w:val="22"/>
                <w:szCs w:val="22"/>
                <w:lang w:val="sl-SI"/>
              </w:rPr>
              <w:t xml:space="preserve">delovanja trajnostnih logističnih podjetij </w:t>
            </w:r>
            <w:r w:rsidRPr="004F5B62">
              <w:rPr>
                <w:rStyle w:val="normaltextrun"/>
                <w:rFonts w:ascii="Calibri" w:hAnsi="Calibri" w:cs="Calibri"/>
                <w:sz w:val="22"/>
                <w:szCs w:val="22"/>
                <w:lang w:val="sl-SI"/>
              </w:rPr>
              <w:t>ter skupinske predstavitve, zagovore in samostojni študij študentov.</w:t>
            </w:r>
            <w:r w:rsidRPr="004F5B62">
              <w:rPr>
                <w:rStyle w:val="eop"/>
                <w:rFonts w:cs="Calibri"/>
                <w:sz w:val="22"/>
                <w:szCs w:val="22"/>
              </w:rPr>
              <w:t> </w:t>
            </w:r>
          </w:p>
          <w:p w14:paraId="297DBF8A" w14:textId="77777777" w:rsidR="00B8093A" w:rsidRPr="004F5B62" w:rsidRDefault="00B8093A" w:rsidP="00B8093A">
            <w:pPr>
              <w:pStyle w:val="paragraph"/>
              <w:spacing w:before="0" w:beforeAutospacing="0" w:after="0" w:afterAutospacing="0"/>
              <w:ind w:right="75"/>
              <w:jc w:val="both"/>
              <w:textAlignment w:val="baseline"/>
              <w:rPr>
                <w:rFonts w:ascii="Segoe UI" w:hAnsi="Segoe UI" w:cs="Segoe UI"/>
                <w:sz w:val="18"/>
                <w:szCs w:val="18"/>
              </w:rPr>
            </w:pPr>
            <w:r w:rsidRPr="004F5B62">
              <w:rPr>
                <w:rStyle w:val="eop"/>
                <w:rFonts w:cs="Calibri"/>
                <w:sz w:val="22"/>
                <w:szCs w:val="22"/>
              </w:rPr>
              <w:t> </w:t>
            </w:r>
          </w:p>
          <w:p w14:paraId="5829D145" w14:textId="77777777" w:rsidR="00B8093A" w:rsidRPr="004F5B62" w:rsidRDefault="00B8093A" w:rsidP="00B8093A">
            <w:pPr>
              <w:pStyle w:val="paragraph"/>
              <w:spacing w:before="0" w:beforeAutospacing="0" w:after="0" w:afterAutospacing="0"/>
              <w:ind w:right="75"/>
              <w:jc w:val="both"/>
              <w:textAlignment w:val="baseline"/>
              <w:rPr>
                <w:rFonts w:ascii="Segoe UI" w:hAnsi="Segoe UI" w:cs="Segoe UI"/>
                <w:sz w:val="18"/>
                <w:szCs w:val="18"/>
              </w:rPr>
            </w:pPr>
            <w:r w:rsidRPr="004F5B62">
              <w:rPr>
                <w:rStyle w:val="normaltextrun"/>
                <w:rFonts w:ascii="Calibri" w:hAnsi="Calibri" w:cs="Calibri"/>
                <w:sz w:val="22"/>
                <w:szCs w:val="22"/>
                <w:lang w:val="sl-SI"/>
              </w:rPr>
              <w:t xml:space="preserve">Predavanja: pri predavanjih študent spozna teoretične vsebine predmeta in primere dobre prakse iz </w:t>
            </w:r>
            <w:r w:rsidRPr="004F5B62">
              <w:rPr>
                <w:rStyle w:val="normaltextrun"/>
                <w:rFonts w:cs="Calibri"/>
                <w:sz w:val="22"/>
                <w:szCs w:val="22"/>
                <w:lang w:val="sl-SI"/>
              </w:rPr>
              <w:t xml:space="preserve">trajnostnih </w:t>
            </w:r>
            <w:r w:rsidRPr="004F5B62">
              <w:rPr>
                <w:rStyle w:val="normaltextrun"/>
                <w:rFonts w:ascii="Calibri" w:hAnsi="Calibri" w:cs="Calibri"/>
                <w:sz w:val="22"/>
                <w:szCs w:val="22"/>
                <w:lang w:val="sl-SI"/>
              </w:rPr>
              <w:t>logističnih podjetij. Del predavanj se izvaja na klasični način v predavalnici, del pa v obliki e-predavanj (e-predavanja se lahko izvajajo na videokonferenčni način ali s pomočjo posebej v ta namen didaktično pripravljenih e-gradiv v virtualnem elektronskem učnem okolju)</w:t>
            </w:r>
            <w:r w:rsidRPr="004F5B62">
              <w:rPr>
                <w:rStyle w:val="normaltextrun"/>
                <w:rFonts w:cs="Calibri"/>
                <w:sz w:val="22"/>
                <w:szCs w:val="22"/>
                <w:lang w:val="sl-SI"/>
              </w:rPr>
              <w:t xml:space="preserve">. </w:t>
            </w:r>
            <w:r w:rsidRPr="004F5B62">
              <w:rPr>
                <w:rStyle w:val="eop"/>
                <w:rFonts w:cs="Calibri"/>
                <w:sz w:val="22"/>
                <w:szCs w:val="22"/>
              </w:rPr>
              <w:t> </w:t>
            </w:r>
          </w:p>
          <w:p w14:paraId="574E307D" w14:textId="77777777" w:rsidR="00B8093A" w:rsidRPr="004F5B62" w:rsidRDefault="00B8093A" w:rsidP="00B8093A">
            <w:pPr>
              <w:pStyle w:val="paragraph"/>
              <w:spacing w:before="0" w:beforeAutospacing="0" w:after="0" w:afterAutospacing="0"/>
              <w:ind w:right="75"/>
              <w:jc w:val="both"/>
              <w:textAlignment w:val="baseline"/>
              <w:rPr>
                <w:rFonts w:ascii="Segoe UI" w:hAnsi="Segoe UI" w:cs="Segoe UI"/>
                <w:sz w:val="18"/>
                <w:szCs w:val="18"/>
              </w:rPr>
            </w:pPr>
            <w:r w:rsidRPr="004F5B62">
              <w:rPr>
                <w:rStyle w:val="eop"/>
                <w:rFonts w:cs="Calibri"/>
                <w:sz w:val="22"/>
                <w:szCs w:val="22"/>
              </w:rPr>
              <w:t> </w:t>
            </w:r>
          </w:p>
          <w:p w14:paraId="6DA6FEE1" w14:textId="77777777" w:rsidR="00B8093A" w:rsidRPr="004F5B62" w:rsidRDefault="00B8093A" w:rsidP="00B8093A">
            <w:pPr>
              <w:pStyle w:val="paragraph"/>
              <w:spacing w:before="0" w:beforeAutospacing="0" w:after="0" w:afterAutospacing="0"/>
              <w:jc w:val="both"/>
              <w:textAlignment w:val="baseline"/>
              <w:rPr>
                <w:rFonts w:ascii="Segoe UI" w:hAnsi="Segoe UI" w:cs="Segoe UI"/>
                <w:sz w:val="18"/>
                <w:szCs w:val="18"/>
              </w:rPr>
            </w:pPr>
            <w:r w:rsidRPr="004F5B62">
              <w:rPr>
                <w:rStyle w:val="normaltextrun"/>
                <w:rFonts w:ascii="Calibri" w:hAnsi="Calibri" w:cs="Calibri"/>
                <w:sz w:val="22"/>
                <w:szCs w:val="22"/>
                <w:lang w:val="sl-SI"/>
              </w:rPr>
              <w:t>Vaje: pri vajah študent utrdi teoretično znanje in spozna aplikativne možnosti. Del vaj se izvaja na klasični način v predavalnici (tudi igričarstvo in problemsko učenje), del pa v obliki e-vaj (e-vaje se lahko izvajajo na videokonferenčni način ali s pomočjo posebej v ta namen didaktično pripravljenih e-gradiv v virtualnem elektronskem učnem okolju).</w:t>
            </w:r>
            <w:r w:rsidRPr="004F5B62">
              <w:rPr>
                <w:rStyle w:val="eop"/>
                <w:rFonts w:cs="Calibri"/>
                <w:sz w:val="22"/>
                <w:szCs w:val="22"/>
              </w:rPr>
              <w:t> </w:t>
            </w:r>
          </w:p>
          <w:p w14:paraId="2A339AFB" w14:textId="5D3F7E1B" w:rsidR="00B8093A" w:rsidRPr="004F5B62" w:rsidRDefault="00B8093A" w:rsidP="007D7287">
            <w:pPr>
              <w:jc w:val="both"/>
              <w:rPr>
                <w:rFonts w:eastAsia="Calibri" w:cs="Arial"/>
                <w:lang w:eastAsia="sl-SI"/>
              </w:rPr>
            </w:pPr>
          </w:p>
        </w:tc>
        <w:tc>
          <w:tcPr>
            <w:tcW w:w="143" w:type="dxa"/>
            <w:tcBorders>
              <w:top w:val="nil"/>
              <w:left w:val="single" w:sz="4" w:space="0" w:color="auto"/>
              <w:bottom w:val="nil"/>
              <w:right w:val="single" w:sz="4" w:space="0" w:color="auto"/>
            </w:tcBorders>
          </w:tcPr>
          <w:p w14:paraId="18CD4BF4" w14:textId="77777777" w:rsidR="00E638E3" w:rsidRPr="004F5B62" w:rsidRDefault="00E638E3" w:rsidP="00E638E3">
            <w:pPr>
              <w:rPr>
                <w:rFonts w:eastAsia="Calibri" w:cs="Arial"/>
                <w:lang w:eastAsia="sl-SI"/>
              </w:rPr>
            </w:pPr>
          </w:p>
        </w:tc>
        <w:tc>
          <w:tcPr>
            <w:tcW w:w="4821" w:type="dxa"/>
            <w:gridSpan w:val="9"/>
            <w:tcBorders>
              <w:top w:val="single" w:sz="4" w:space="0" w:color="auto"/>
              <w:left w:val="single" w:sz="4" w:space="0" w:color="auto"/>
              <w:bottom w:val="single" w:sz="4" w:space="0" w:color="auto"/>
              <w:right w:val="single" w:sz="4" w:space="0" w:color="auto"/>
            </w:tcBorders>
          </w:tcPr>
          <w:p w14:paraId="744D0260" w14:textId="77777777" w:rsidR="00B8093A" w:rsidRPr="004F5B62" w:rsidRDefault="00B8093A" w:rsidP="00B8093A">
            <w:pPr>
              <w:jc w:val="both"/>
              <w:rPr>
                <w:rFonts w:eastAsia="Calibri" w:cs="Arial"/>
                <w:lang w:eastAsia="sl-SI"/>
              </w:rPr>
            </w:pPr>
            <w:r w:rsidRPr="004F5B62">
              <w:rPr>
                <w:rFonts w:eastAsia="Calibri" w:cs="Arial"/>
                <w:lang w:eastAsia="sl-SI"/>
              </w:rPr>
              <w:t xml:space="preserve">The course includes various teaching and learning methods, such as: lectures, discussion </w:t>
            </w:r>
            <w:r w:rsidRPr="004F5B62">
              <w:rPr>
                <w:rFonts w:eastAsia="Calibri" w:cs="Arial"/>
                <w:lang w:eastAsia="sl-SI"/>
              </w:rPr>
              <w:lastRenderedPageBreak/>
              <w:t>groups, video presentations and films, case studies from practice, games, problem-based learning and practical work through simulations of the operation of sustainable logistics companies, as well as group presentations, defenses and independent study of students.</w:t>
            </w:r>
          </w:p>
          <w:p w14:paraId="49611DC0" w14:textId="77777777" w:rsidR="00B8093A" w:rsidRPr="004F5B62" w:rsidRDefault="00B8093A" w:rsidP="00B8093A">
            <w:pPr>
              <w:jc w:val="both"/>
              <w:rPr>
                <w:rFonts w:eastAsia="Calibri" w:cs="Arial"/>
                <w:lang w:eastAsia="sl-SI"/>
              </w:rPr>
            </w:pPr>
            <w:r w:rsidRPr="004F5B62">
              <w:rPr>
                <w:rFonts w:eastAsia="Calibri" w:cs="Arial"/>
                <w:lang w:eastAsia="sl-SI"/>
              </w:rPr>
              <w:t xml:space="preserve"> </w:t>
            </w:r>
          </w:p>
          <w:p w14:paraId="2DBF38C6" w14:textId="77777777" w:rsidR="00B8093A" w:rsidRPr="004F5B62" w:rsidRDefault="00B8093A" w:rsidP="00B8093A">
            <w:pPr>
              <w:jc w:val="both"/>
              <w:rPr>
                <w:rFonts w:eastAsia="Calibri" w:cs="Arial"/>
                <w:lang w:eastAsia="sl-SI"/>
              </w:rPr>
            </w:pPr>
            <w:r w:rsidRPr="004F5B62">
              <w:rPr>
                <w:rFonts w:eastAsia="Calibri" w:cs="Arial"/>
                <w:lang w:eastAsia="sl-SI"/>
              </w:rPr>
              <w:t>Lectures: during the lectures, the student gets to know the theoretical contents of the course and examples of good practice from sustainable logistics companies. Part of the lectures are conducted in the traditional way in the lecture hall, and part in the form of e-lectures (e-lectures can be conducted in a videoconference manner or with the help of e-materials specially prepared for this purpose in a virtual electronic learning environment).</w:t>
            </w:r>
          </w:p>
          <w:p w14:paraId="1BF1DE98" w14:textId="77777777" w:rsidR="00B8093A" w:rsidRPr="004F5B62" w:rsidRDefault="00B8093A" w:rsidP="00B8093A">
            <w:pPr>
              <w:jc w:val="both"/>
              <w:rPr>
                <w:rFonts w:eastAsia="Calibri" w:cs="Arial"/>
                <w:lang w:eastAsia="sl-SI"/>
              </w:rPr>
            </w:pPr>
            <w:r w:rsidRPr="004F5B62">
              <w:rPr>
                <w:rFonts w:eastAsia="Calibri" w:cs="Arial"/>
                <w:lang w:eastAsia="sl-SI"/>
              </w:rPr>
              <w:t xml:space="preserve"> </w:t>
            </w:r>
          </w:p>
          <w:p w14:paraId="16E78F08" w14:textId="28F53ED1" w:rsidR="00B8093A" w:rsidRPr="004F5B62" w:rsidRDefault="00B8093A" w:rsidP="00B8093A">
            <w:pPr>
              <w:jc w:val="both"/>
              <w:rPr>
                <w:rFonts w:eastAsia="Calibri" w:cs="Arial"/>
                <w:lang w:eastAsia="sl-SI"/>
              </w:rPr>
            </w:pPr>
            <w:r w:rsidRPr="004F5B62">
              <w:rPr>
                <w:rFonts w:eastAsia="Calibri" w:cs="Arial"/>
                <w:lang w:eastAsia="sl-SI"/>
              </w:rPr>
              <w:t>Exercises: in exercises, the student consolidates theoretical knowledge and learns about application possibilities. Part of the exercises are carried out in the classic way in the lecture hall (including games and problem-based learning), and part in the form of e-exercises (e-exercises can be carried out via video conference or with the help of e-materials specially prepared for this purpose in a virtual electronic learning environment).</w:t>
            </w:r>
          </w:p>
        </w:tc>
      </w:tr>
      <w:tr w:rsidR="00E638E3" w:rsidRPr="0049183D" w14:paraId="0566443A" w14:textId="77777777" w:rsidTr="0B44B878">
        <w:tc>
          <w:tcPr>
            <w:tcW w:w="4018" w:type="dxa"/>
            <w:gridSpan w:val="6"/>
            <w:tcBorders>
              <w:top w:val="nil"/>
              <w:left w:val="nil"/>
              <w:bottom w:val="single" w:sz="4" w:space="0" w:color="auto"/>
              <w:right w:val="nil"/>
            </w:tcBorders>
          </w:tcPr>
          <w:p w14:paraId="24856A0C" w14:textId="77777777" w:rsidR="00E638E3" w:rsidRPr="004F5B62" w:rsidRDefault="00E638E3" w:rsidP="00E638E3">
            <w:pPr>
              <w:rPr>
                <w:rFonts w:eastAsia="Calibri" w:cs="Calibri"/>
                <w:b/>
                <w:lang w:eastAsia="sl-SI"/>
              </w:rPr>
            </w:pPr>
          </w:p>
          <w:p w14:paraId="3DACF7C6" w14:textId="77777777" w:rsidR="00E638E3" w:rsidRPr="004F5B62" w:rsidRDefault="00E638E3" w:rsidP="00E638E3">
            <w:pPr>
              <w:rPr>
                <w:rFonts w:eastAsia="Calibri" w:cs="Calibri"/>
                <w:b/>
                <w:lang w:eastAsia="sl-SI"/>
              </w:rPr>
            </w:pPr>
          </w:p>
          <w:p w14:paraId="2D420B6D" w14:textId="36F705F9" w:rsidR="00E638E3" w:rsidRPr="004F5B62" w:rsidRDefault="00E638E3" w:rsidP="00E638E3">
            <w:pPr>
              <w:rPr>
                <w:rFonts w:eastAsia="Calibri" w:cs="Calibri"/>
                <w:b/>
                <w:lang w:eastAsia="sl-SI"/>
              </w:rPr>
            </w:pPr>
            <w:r w:rsidRPr="004F5B62">
              <w:rPr>
                <w:rFonts w:eastAsia="Calibri" w:cs="Calibri"/>
                <w:b/>
                <w:lang w:eastAsia="sl-SI"/>
              </w:rPr>
              <w:t>Načini ocenjevanja:</w:t>
            </w:r>
          </w:p>
        </w:tc>
        <w:tc>
          <w:tcPr>
            <w:tcW w:w="1560" w:type="dxa"/>
            <w:gridSpan w:val="5"/>
            <w:tcBorders>
              <w:top w:val="nil"/>
              <w:left w:val="nil"/>
              <w:bottom w:val="single" w:sz="4" w:space="0" w:color="auto"/>
              <w:right w:val="nil"/>
            </w:tcBorders>
          </w:tcPr>
          <w:p w14:paraId="64E7CBFA" w14:textId="77777777" w:rsidR="00E638E3" w:rsidRPr="004F5B62" w:rsidRDefault="00E638E3" w:rsidP="00E638E3">
            <w:pPr>
              <w:rPr>
                <w:rFonts w:eastAsia="Calibri" w:cs="Calibri"/>
                <w:lang w:eastAsia="sl-SI"/>
              </w:rPr>
            </w:pPr>
          </w:p>
          <w:p w14:paraId="59BD2FDC" w14:textId="52781C70" w:rsidR="00E638E3" w:rsidRPr="004F5B62" w:rsidRDefault="00E638E3" w:rsidP="00E638E3">
            <w:pPr>
              <w:rPr>
                <w:rFonts w:eastAsia="Calibri" w:cs="Calibri"/>
                <w:lang w:eastAsia="sl-SI"/>
              </w:rPr>
            </w:pPr>
            <w:r w:rsidRPr="004F5B62">
              <w:rPr>
                <w:rFonts w:eastAsia="Calibri" w:cs="Calibri"/>
                <w:lang w:eastAsia="sl-SI"/>
              </w:rPr>
              <w:t>Delež (v %) /</w:t>
            </w:r>
          </w:p>
          <w:p w14:paraId="49E1EDE7" w14:textId="77777777" w:rsidR="00E638E3" w:rsidRPr="004F5B62" w:rsidRDefault="00E638E3" w:rsidP="00E638E3">
            <w:pPr>
              <w:rPr>
                <w:rFonts w:eastAsia="Calibri" w:cs="Calibri"/>
                <w:b/>
                <w:lang w:eastAsia="sl-SI"/>
              </w:rPr>
            </w:pPr>
            <w:r w:rsidRPr="004F5B62">
              <w:rPr>
                <w:rFonts w:eastAsia="Calibri" w:cs="Calibri"/>
                <w:lang w:eastAsia="sl-SI"/>
              </w:rPr>
              <w:t>Share (in %)</w:t>
            </w:r>
          </w:p>
        </w:tc>
        <w:tc>
          <w:tcPr>
            <w:tcW w:w="4112" w:type="dxa"/>
            <w:gridSpan w:val="8"/>
            <w:tcBorders>
              <w:top w:val="nil"/>
              <w:left w:val="nil"/>
              <w:bottom w:val="single" w:sz="4" w:space="0" w:color="auto"/>
              <w:right w:val="nil"/>
            </w:tcBorders>
          </w:tcPr>
          <w:p w14:paraId="7B708EBB" w14:textId="77777777" w:rsidR="00E638E3" w:rsidRPr="004F5B62" w:rsidRDefault="00E638E3" w:rsidP="00E638E3">
            <w:pPr>
              <w:rPr>
                <w:rFonts w:eastAsia="Calibri" w:cs="Calibri"/>
                <w:b/>
                <w:lang w:eastAsia="sl-SI"/>
              </w:rPr>
            </w:pPr>
          </w:p>
          <w:p w14:paraId="173DEBF2" w14:textId="77777777" w:rsidR="00E638E3" w:rsidRPr="004F5B62" w:rsidRDefault="00E638E3" w:rsidP="00E638E3">
            <w:pPr>
              <w:rPr>
                <w:rFonts w:eastAsia="Calibri" w:cs="Calibri"/>
                <w:b/>
                <w:lang w:eastAsia="sl-SI"/>
              </w:rPr>
            </w:pPr>
          </w:p>
          <w:p w14:paraId="282097A4" w14:textId="0F6E584B" w:rsidR="00E638E3" w:rsidRPr="004F5B62" w:rsidRDefault="00E638E3" w:rsidP="00E638E3">
            <w:pPr>
              <w:rPr>
                <w:rFonts w:eastAsia="Calibri" w:cs="Calibri"/>
                <w:b/>
                <w:lang w:eastAsia="sl-SI"/>
              </w:rPr>
            </w:pPr>
            <w:r w:rsidRPr="004F5B62">
              <w:rPr>
                <w:rFonts w:eastAsia="Calibri" w:cs="Calibri"/>
                <w:b/>
                <w:lang w:eastAsia="sl-SI"/>
              </w:rPr>
              <w:t>Assessment methods:</w:t>
            </w:r>
          </w:p>
        </w:tc>
      </w:tr>
      <w:tr w:rsidR="00E638E3" w:rsidRPr="0049183D" w14:paraId="52B92BAD" w14:textId="77777777" w:rsidTr="0B44B878">
        <w:trPr>
          <w:trHeight w:val="1104"/>
        </w:trPr>
        <w:tc>
          <w:tcPr>
            <w:tcW w:w="4018" w:type="dxa"/>
            <w:gridSpan w:val="6"/>
            <w:tcBorders>
              <w:top w:val="single" w:sz="4" w:space="0" w:color="auto"/>
              <w:left w:val="single" w:sz="4" w:space="0" w:color="auto"/>
              <w:bottom w:val="single" w:sz="4" w:space="0" w:color="auto"/>
              <w:right w:val="single" w:sz="4" w:space="0" w:color="auto"/>
            </w:tcBorders>
          </w:tcPr>
          <w:p w14:paraId="004702A0" w14:textId="77777777" w:rsidR="008F145E" w:rsidRPr="004F5B62" w:rsidRDefault="008F145E" w:rsidP="008F145E">
            <w:pPr>
              <w:pStyle w:val="paragraph"/>
              <w:numPr>
                <w:ilvl w:val="0"/>
                <w:numId w:val="21"/>
              </w:numPr>
              <w:spacing w:before="0" w:beforeAutospacing="0" w:after="0" w:afterAutospacing="0"/>
              <w:textAlignment w:val="baseline"/>
              <w:rPr>
                <w:rStyle w:val="normaltextrun"/>
                <w:lang w:val="sl-SI"/>
              </w:rPr>
            </w:pPr>
            <w:r w:rsidRPr="004F5B62">
              <w:rPr>
                <w:rStyle w:val="normaltextrun"/>
                <w:rFonts w:ascii="Calibri" w:hAnsi="Calibri" w:cs="Calibri"/>
                <w:sz w:val="22"/>
                <w:szCs w:val="22"/>
                <w:lang w:val="sl-SI"/>
              </w:rPr>
              <w:t>Aktivno delo študentov (e-vaje in e-predavanja).</w:t>
            </w:r>
            <w:r w:rsidRPr="004F5B62">
              <w:rPr>
                <w:rStyle w:val="normaltextrun"/>
                <w:lang w:val="sl-SI"/>
              </w:rPr>
              <w:t> </w:t>
            </w:r>
          </w:p>
          <w:p w14:paraId="3F3C5E63" w14:textId="77777777" w:rsidR="008F145E" w:rsidRPr="004F5B62" w:rsidRDefault="008F145E" w:rsidP="008F145E">
            <w:pPr>
              <w:pStyle w:val="paragraph"/>
              <w:numPr>
                <w:ilvl w:val="0"/>
                <w:numId w:val="21"/>
              </w:numPr>
              <w:spacing w:before="0" w:beforeAutospacing="0" w:after="0" w:afterAutospacing="0"/>
              <w:textAlignment w:val="baseline"/>
              <w:rPr>
                <w:rStyle w:val="normaltextrun"/>
                <w:lang w:val="sl-SI"/>
              </w:rPr>
            </w:pPr>
            <w:r w:rsidRPr="004F5B62">
              <w:rPr>
                <w:rStyle w:val="normaltextrun"/>
                <w:rFonts w:ascii="Calibri" w:hAnsi="Calibri" w:cs="Calibri"/>
                <w:sz w:val="22"/>
                <w:szCs w:val="22"/>
                <w:lang w:val="sl-SI"/>
              </w:rPr>
              <w:t>Projektna naloga</w:t>
            </w:r>
            <w:r w:rsidRPr="004F5B62">
              <w:rPr>
                <w:rStyle w:val="normaltextrun"/>
                <w:lang w:val="sl-SI"/>
              </w:rPr>
              <w:t> </w:t>
            </w:r>
          </w:p>
          <w:p w14:paraId="73D37E4C" w14:textId="16F56102" w:rsidR="008F145E" w:rsidRPr="004F5B62" w:rsidRDefault="008F145E" w:rsidP="008F145E">
            <w:pPr>
              <w:pStyle w:val="paragraph"/>
              <w:numPr>
                <w:ilvl w:val="0"/>
                <w:numId w:val="21"/>
              </w:numPr>
              <w:spacing w:before="0" w:beforeAutospacing="0" w:after="0" w:afterAutospacing="0"/>
              <w:jc w:val="both"/>
              <w:textAlignment w:val="baseline"/>
              <w:rPr>
                <w:rFonts w:ascii="Calibri" w:hAnsi="Calibri" w:cs="Calibri"/>
                <w:sz w:val="22"/>
                <w:szCs w:val="22"/>
              </w:rPr>
            </w:pPr>
            <w:r w:rsidRPr="004F5B62">
              <w:rPr>
                <w:rStyle w:val="normaltextrun"/>
                <w:rFonts w:ascii="Calibri" w:hAnsi="Calibri" w:cs="Calibri"/>
                <w:sz w:val="22"/>
                <w:szCs w:val="22"/>
                <w:lang w:val="sl-SI"/>
              </w:rPr>
              <w:t>Končni pisni izpit</w:t>
            </w:r>
            <w:r w:rsidRPr="004F5B62">
              <w:rPr>
                <w:rStyle w:val="eop"/>
                <w:rFonts w:ascii="Calibri" w:hAnsi="Calibri" w:cs="Calibri"/>
                <w:sz w:val="22"/>
                <w:szCs w:val="22"/>
              </w:rPr>
              <w:t> </w:t>
            </w:r>
          </w:p>
        </w:tc>
        <w:tc>
          <w:tcPr>
            <w:tcW w:w="1560" w:type="dxa"/>
            <w:gridSpan w:val="5"/>
            <w:tcBorders>
              <w:top w:val="single" w:sz="4" w:space="0" w:color="auto"/>
              <w:left w:val="single" w:sz="4" w:space="0" w:color="auto"/>
              <w:bottom w:val="single" w:sz="4" w:space="0" w:color="auto"/>
              <w:right w:val="single" w:sz="4" w:space="0" w:color="auto"/>
            </w:tcBorders>
          </w:tcPr>
          <w:p w14:paraId="2EEDD3C7" w14:textId="605D562D" w:rsidR="008F145E" w:rsidRPr="004F5B62" w:rsidRDefault="008F145E" w:rsidP="00E638E3">
            <w:pPr>
              <w:jc w:val="center"/>
              <w:rPr>
                <w:rFonts w:eastAsia="Calibri" w:cs="Calibri"/>
                <w:lang w:eastAsia="sl-SI"/>
              </w:rPr>
            </w:pPr>
            <w:r w:rsidRPr="004F5B62">
              <w:rPr>
                <w:rFonts w:eastAsia="Calibri" w:cs="Calibri"/>
                <w:lang w:eastAsia="sl-SI"/>
              </w:rPr>
              <w:t>20%</w:t>
            </w:r>
          </w:p>
          <w:p w14:paraId="3AF2D84E" w14:textId="77777777" w:rsidR="00EC4757" w:rsidRPr="004F5B62" w:rsidRDefault="00EC4757" w:rsidP="00E638E3">
            <w:pPr>
              <w:jc w:val="center"/>
              <w:rPr>
                <w:rFonts w:eastAsia="Calibri" w:cs="Calibri"/>
                <w:lang w:eastAsia="sl-SI"/>
              </w:rPr>
            </w:pPr>
          </w:p>
          <w:p w14:paraId="29E33988" w14:textId="41176E64" w:rsidR="008F145E" w:rsidRPr="004F5B62" w:rsidRDefault="008F145E" w:rsidP="00E638E3">
            <w:pPr>
              <w:jc w:val="center"/>
              <w:rPr>
                <w:rFonts w:eastAsia="Calibri" w:cs="Calibri"/>
                <w:lang w:eastAsia="sl-SI"/>
              </w:rPr>
            </w:pPr>
            <w:r w:rsidRPr="004F5B62">
              <w:rPr>
                <w:rFonts w:eastAsia="Calibri" w:cs="Calibri"/>
                <w:lang w:eastAsia="sl-SI"/>
              </w:rPr>
              <w:t>30%</w:t>
            </w:r>
          </w:p>
          <w:p w14:paraId="6252E3BC" w14:textId="50A4E120" w:rsidR="008F145E" w:rsidRPr="004F5B62" w:rsidRDefault="008F145E" w:rsidP="00E638E3">
            <w:pPr>
              <w:jc w:val="center"/>
              <w:rPr>
                <w:rFonts w:eastAsia="Calibri" w:cs="Calibri"/>
                <w:lang w:eastAsia="sl-SI"/>
              </w:rPr>
            </w:pPr>
            <w:r w:rsidRPr="004F5B62">
              <w:rPr>
                <w:rFonts w:eastAsia="Calibri" w:cs="Calibri"/>
                <w:lang w:eastAsia="sl-SI"/>
              </w:rPr>
              <w:t>50%</w:t>
            </w:r>
          </w:p>
        </w:tc>
        <w:tc>
          <w:tcPr>
            <w:tcW w:w="4112" w:type="dxa"/>
            <w:gridSpan w:val="8"/>
            <w:tcBorders>
              <w:top w:val="single" w:sz="4" w:space="0" w:color="auto"/>
              <w:left w:val="single" w:sz="4" w:space="0" w:color="auto"/>
              <w:bottom w:val="single" w:sz="4" w:space="0" w:color="auto"/>
              <w:right w:val="single" w:sz="4" w:space="0" w:color="auto"/>
            </w:tcBorders>
          </w:tcPr>
          <w:p w14:paraId="3F700797" w14:textId="4B8B2F7D" w:rsidR="004B180D" w:rsidRPr="004F5B62" w:rsidRDefault="004B180D" w:rsidP="004B180D">
            <w:pPr>
              <w:pStyle w:val="Odstavekseznama"/>
              <w:numPr>
                <w:ilvl w:val="0"/>
                <w:numId w:val="21"/>
              </w:numPr>
              <w:rPr>
                <w:rFonts w:eastAsia="Calibri" w:cs="Calibri"/>
                <w:lang w:eastAsia="sl-SI"/>
              </w:rPr>
            </w:pPr>
            <w:r w:rsidRPr="004F5B62">
              <w:rPr>
                <w:rFonts w:eastAsia="Calibri" w:cs="Calibri"/>
                <w:lang w:eastAsia="sl-SI"/>
              </w:rPr>
              <w:t>Active student work (e-exercises and e-lectures).</w:t>
            </w:r>
          </w:p>
          <w:p w14:paraId="47E0143B" w14:textId="48B3F068" w:rsidR="004B180D" w:rsidRPr="004F5B62" w:rsidRDefault="004B180D" w:rsidP="004B180D">
            <w:pPr>
              <w:pStyle w:val="Odstavekseznama"/>
              <w:numPr>
                <w:ilvl w:val="0"/>
                <w:numId w:val="21"/>
              </w:numPr>
              <w:rPr>
                <w:rFonts w:eastAsia="Calibri" w:cs="Calibri"/>
                <w:lang w:eastAsia="sl-SI"/>
              </w:rPr>
            </w:pPr>
            <w:r w:rsidRPr="004F5B62">
              <w:rPr>
                <w:rFonts w:eastAsia="Calibri" w:cs="Calibri"/>
                <w:lang w:eastAsia="sl-SI"/>
              </w:rPr>
              <w:t>Project work</w:t>
            </w:r>
          </w:p>
          <w:p w14:paraId="20F78515" w14:textId="27E0C5AA" w:rsidR="004B180D" w:rsidRPr="004F5B62" w:rsidRDefault="004B180D" w:rsidP="004B180D">
            <w:pPr>
              <w:pStyle w:val="Odstavekseznama"/>
              <w:numPr>
                <w:ilvl w:val="0"/>
                <w:numId w:val="21"/>
              </w:numPr>
              <w:rPr>
                <w:rFonts w:eastAsia="Calibri" w:cs="Calibri"/>
                <w:lang w:eastAsia="sl-SI"/>
              </w:rPr>
            </w:pPr>
            <w:r w:rsidRPr="004F5B62">
              <w:rPr>
                <w:rFonts w:eastAsia="Calibri" w:cs="Calibri"/>
                <w:lang w:eastAsia="sl-SI"/>
              </w:rPr>
              <w:t>Final written exam</w:t>
            </w:r>
          </w:p>
        </w:tc>
      </w:tr>
    </w:tbl>
    <w:p w14:paraId="24CD7CC4" w14:textId="0730ED06" w:rsidR="007D7287" w:rsidRDefault="007D7287" w:rsidP="005A11E4">
      <w:pPr>
        <w:rPr>
          <w:rFonts w:eastAsia="Calibri"/>
          <w:lang w:eastAsia="sl-SI"/>
        </w:rPr>
      </w:pPr>
    </w:p>
    <w:p w14:paraId="54882CF1" w14:textId="1AF08FFC" w:rsidR="005A11E4" w:rsidRPr="0049183D" w:rsidRDefault="007D7287" w:rsidP="007D7287">
      <w:pPr>
        <w:spacing w:after="160" w:line="259" w:lineRule="auto"/>
        <w:rPr>
          <w:rFonts w:eastAsia="Calibri"/>
          <w:lang w:eastAsia="sl-SI"/>
        </w:rPr>
      </w:pPr>
      <w:r>
        <w:rPr>
          <w:rFonts w:eastAsia="Calibri"/>
          <w:lang w:eastAsia="sl-SI"/>
        </w:rPr>
        <w:br w:type="page"/>
      </w: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7D7287">
        <w:tc>
          <w:tcPr>
            <w:tcW w:w="9690" w:type="dxa"/>
            <w:tcBorders>
              <w:left w:val="nil"/>
              <w:bottom w:val="single" w:sz="4" w:space="0" w:color="auto"/>
              <w:right w:val="nil"/>
            </w:tcBorders>
          </w:tcPr>
          <w:p w14:paraId="5A33BA62" w14:textId="77777777" w:rsidR="005A11E4" w:rsidRPr="0049183D" w:rsidRDefault="005A11E4" w:rsidP="00B71733">
            <w:pPr>
              <w:rPr>
                <w:rFonts w:eastAsia="Calibri" w:cs="Calibri"/>
                <w:b/>
                <w:lang w:eastAsia="sl-SI"/>
              </w:rPr>
            </w:pPr>
            <w:r w:rsidRPr="0049183D">
              <w:rPr>
                <w:rFonts w:eastAsia="Calibri" w:cs="Calibri"/>
                <w:b/>
                <w:lang w:eastAsia="sl-SI"/>
              </w:rPr>
              <w:lastRenderedPageBreak/>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5A11E4" w:rsidRPr="0049183D" w14:paraId="11013034" w14:textId="77777777" w:rsidTr="007D7287">
        <w:trPr>
          <w:trHeight w:val="20"/>
        </w:trPr>
        <w:tc>
          <w:tcPr>
            <w:tcW w:w="9690" w:type="dxa"/>
            <w:tcBorders>
              <w:top w:val="single" w:sz="4" w:space="0" w:color="auto"/>
              <w:left w:val="single" w:sz="4" w:space="0" w:color="auto"/>
              <w:bottom w:val="single" w:sz="4" w:space="0" w:color="auto"/>
              <w:right w:val="single" w:sz="4" w:space="0" w:color="auto"/>
            </w:tcBorders>
          </w:tcPr>
          <w:p w14:paraId="11531509" w14:textId="77777777" w:rsidR="007747BF" w:rsidRPr="00F23473" w:rsidRDefault="007747BF" w:rsidP="007747BF">
            <w:pPr>
              <w:rPr>
                <w:rFonts w:asciiTheme="minorHAnsi" w:hAnsiTheme="minorHAnsi"/>
              </w:rPr>
            </w:pPr>
            <w:r w:rsidRPr="00F23473">
              <w:rPr>
                <w:rFonts w:asciiTheme="minorHAnsi" w:hAnsiTheme="minorHAnsi"/>
              </w:rPr>
              <w:t xml:space="preserve">OTHMAN, Alaa, ELGAZZAR, Sara, </w:t>
            </w:r>
            <w:r w:rsidRPr="00F23473">
              <w:rPr>
                <w:rFonts w:asciiTheme="minorHAnsi" w:hAnsiTheme="minorHAnsi"/>
                <w:b/>
                <w:bCs/>
              </w:rPr>
              <w:t>KNEZ, Matjaž</w:t>
            </w:r>
            <w:r w:rsidRPr="00F23473">
              <w:rPr>
                <w:rFonts w:asciiTheme="minorHAnsi" w:hAnsiTheme="minorHAnsi"/>
              </w:rPr>
              <w:t>. A framework for adopting a sustainable smart sea port index. Sustainability. Apr. 2022, vol. 14, iss. 8, str. [1]-26, ilustr. ISSN 2071-1050. </w:t>
            </w:r>
            <w:hyperlink r:id="rId10" w:tgtFrame="_blank" w:history="1">
              <w:r w:rsidRPr="00F23473">
                <w:rPr>
                  <w:rFonts w:asciiTheme="minorHAnsi" w:hAnsiTheme="minorHAnsi"/>
                </w:rPr>
                <w:t>https://doi.org/10.3390/su14084551</w:t>
              </w:r>
            </w:hyperlink>
            <w:r w:rsidRPr="00F23473">
              <w:rPr>
                <w:rFonts w:asciiTheme="minorHAnsi" w:hAnsiTheme="minorHAnsi"/>
              </w:rPr>
              <w:t>, DOI: </w:t>
            </w:r>
            <w:hyperlink r:id="rId11" w:tgtFrame="_blank" w:history="1">
              <w:r w:rsidRPr="00F23473">
                <w:rPr>
                  <w:rFonts w:asciiTheme="minorHAnsi" w:hAnsiTheme="minorHAnsi"/>
                </w:rPr>
                <w:t>10.3390/su14084551</w:t>
              </w:r>
            </w:hyperlink>
            <w:r w:rsidRPr="00F23473">
              <w:rPr>
                <w:rFonts w:asciiTheme="minorHAnsi" w:hAnsiTheme="minorHAnsi"/>
              </w:rPr>
              <w:t>. [COBISS.SI-ID </w:t>
            </w:r>
            <w:hyperlink r:id="rId12" w:tgtFrame="_blank" w:history="1">
              <w:r w:rsidRPr="00F23473">
                <w:rPr>
                  <w:rFonts w:asciiTheme="minorHAnsi" w:hAnsiTheme="minorHAnsi"/>
                </w:rPr>
                <w:t>105118467</w:t>
              </w:r>
            </w:hyperlink>
            <w:r w:rsidRPr="00F23473">
              <w:rPr>
                <w:rFonts w:asciiTheme="minorHAnsi" w:hAnsiTheme="minorHAnsi"/>
              </w:rPr>
              <w:t>],</w:t>
            </w:r>
          </w:p>
          <w:p w14:paraId="5D7872BE" w14:textId="3010E0BB" w:rsidR="007747BF" w:rsidRPr="00F23473" w:rsidRDefault="007747BF" w:rsidP="007D7287">
            <w:pPr>
              <w:rPr>
                <w:rFonts w:asciiTheme="minorHAnsi" w:hAnsiTheme="minorHAnsi"/>
              </w:rPr>
            </w:pPr>
            <w:r w:rsidRPr="00F23473">
              <w:rPr>
                <w:rFonts w:asciiTheme="minorHAnsi" w:hAnsiTheme="minorHAnsi"/>
              </w:rPr>
              <w:t xml:space="preserve">HASSANIN, Islam, </w:t>
            </w:r>
            <w:r w:rsidRPr="00F23473">
              <w:rPr>
                <w:rFonts w:asciiTheme="minorHAnsi" w:hAnsiTheme="minorHAnsi"/>
                <w:b/>
                <w:bCs/>
              </w:rPr>
              <w:t>KNEZ, Matjaž</w:t>
            </w:r>
            <w:r w:rsidRPr="00F23473">
              <w:rPr>
                <w:rFonts w:asciiTheme="minorHAnsi" w:hAnsiTheme="minorHAnsi"/>
              </w:rPr>
              <w:t>. Managing supply chain activities in the field of energy production focusing on renewables. Sustainability. Jun. 2022, vol. 14, iss. 12, str. 1-33, ilustr. ISSN 2071-1050. </w:t>
            </w:r>
            <w:hyperlink r:id="rId13" w:tgtFrame="_blank" w:history="1">
              <w:r w:rsidRPr="00F23473">
                <w:rPr>
                  <w:rFonts w:asciiTheme="minorHAnsi" w:hAnsiTheme="minorHAnsi"/>
                </w:rPr>
                <w:t>https://www.mdpi.com/2071-1050/14/12/7290</w:t>
              </w:r>
            </w:hyperlink>
            <w:r w:rsidRPr="00F23473">
              <w:rPr>
                <w:rFonts w:asciiTheme="minorHAnsi" w:hAnsiTheme="minorHAnsi"/>
              </w:rPr>
              <w:t>, DOI: </w:t>
            </w:r>
            <w:hyperlink r:id="rId14" w:tgtFrame="_blank" w:history="1">
              <w:r w:rsidRPr="00F23473">
                <w:rPr>
                  <w:rFonts w:asciiTheme="minorHAnsi" w:hAnsiTheme="minorHAnsi"/>
                </w:rPr>
                <w:t>10.3390/su14127290</w:t>
              </w:r>
            </w:hyperlink>
            <w:r w:rsidRPr="00F23473">
              <w:rPr>
                <w:rFonts w:asciiTheme="minorHAnsi" w:hAnsiTheme="minorHAnsi"/>
              </w:rPr>
              <w:t>.</w:t>
            </w:r>
          </w:p>
          <w:p w14:paraId="603AA299" w14:textId="2D70DA6E" w:rsidR="007D7287" w:rsidRPr="00B51C69" w:rsidRDefault="007D7287" w:rsidP="007D7287">
            <w:pPr>
              <w:rPr>
                <w:rFonts w:asciiTheme="minorHAnsi" w:hAnsiTheme="minorHAnsi"/>
                <w:b/>
              </w:rPr>
            </w:pPr>
            <w:r w:rsidRPr="007747BF">
              <w:rPr>
                <w:rFonts w:asciiTheme="minorHAnsi" w:hAnsiTheme="minorHAnsi"/>
                <w:b/>
                <w:bCs/>
              </w:rPr>
              <w:t>KNEZ, Matjaž</w:t>
            </w:r>
            <w:r w:rsidRPr="00B51C69">
              <w:rPr>
                <w:rFonts w:asciiTheme="minorHAnsi" w:hAnsiTheme="minorHAnsi"/>
              </w:rPr>
              <w:t xml:space="preserve">, ROSI, Bojan, MULEJ, Matjaž, LIPIČNIK, Martin. Competitiveness by requisitely holistic and innovative logistic management. Promet, ISSN 0353-5320, 2010, vol. 22, no. 3, str. 229-237. [COBISS.SI-ID </w:t>
            </w:r>
            <w:hyperlink r:id="rId15" w:tgtFrame="_blank" w:history="1">
              <w:r w:rsidRPr="00B51C69">
                <w:rPr>
                  <w:rFonts w:asciiTheme="minorHAnsi" w:hAnsiTheme="minorHAnsi"/>
                </w:rPr>
                <w:t>10305052</w:t>
              </w:r>
            </w:hyperlink>
            <w:r>
              <w:rPr>
                <w:rFonts w:asciiTheme="minorHAnsi" w:hAnsiTheme="minorHAnsi"/>
              </w:rPr>
              <w:t>]</w:t>
            </w:r>
          </w:p>
          <w:p w14:paraId="447CC1F1" w14:textId="7211BC26" w:rsidR="007D7287" w:rsidRPr="00B51C69" w:rsidRDefault="007D7287" w:rsidP="007D7287">
            <w:pPr>
              <w:rPr>
                <w:rFonts w:asciiTheme="minorHAnsi" w:hAnsiTheme="minorHAnsi"/>
                <w:b/>
                <w:lang w:eastAsia="sl-SI"/>
              </w:rPr>
            </w:pPr>
            <w:r w:rsidRPr="007747BF">
              <w:rPr>
                <w:rFonts w:asciiTheme="minorHAnsi" w:hAnsiTheme="minorHAnsi"/>
                <w:b/>
                <w:bCs/>
                <w:lang w:eastAsia="sl-SI"/>
              </w:rPr>
              <w:t>KNEZ, Matjaž</w:t>
            </w:r>
            <w:r w:rsidRPr="00B51C69">
              <w:rPr>
                <w:rFonts w:asciiTheme="minorHAnsi" w:hAnsiTheme="minorHAnsi"/>
                <w:lang w:eastAsia="sl-SI"/>
              </w:rPr>
              <w:t xml:space="preserve">, PREDIN, Andrej, ROSI, Bojan. 'Forklift to grid' - how to synergise the electricity and logistics sectors = 'Viličar na omrežje' - kako sinergijsko povezati električno omrežje z logističnim sektorjem. </w:t>
            </w:r>
            <w:r w:rsidRPr="00B51C69">
              <w:rPr>
                <w:rFonts w:asciiTheme="minorHAnsi" w:hAnsiTheme="minorHAnsi"/>
                <w:i/>
                <w:iCs/>
                <w:lang w:eastAsia="sl-SI"/>
              </w:rPr>
              <w:t>Journal of energy technology</w:t>
            </w:r>
            <w:r w:rsidRPr="00B51C69">
              <w:rPr>
                <w:rFonts w:asciiTheme="minorHAnsi" w:hAnsiTheme="minorHAnsi"/>
                <w:lang w:eastAsia="sl-SI"/>
              </w:rPr>
              <w:t xml:space="preserve">, May 2012, vol. 5, iss. 2, str. 13-27. </w:t>
            </w:r>
            <w:hyperlink r:id="rId16" w:history="1">
              <w:r w:rsidRPr="00B51C69">
                <w:rPr>
                  <w:rFonts w:asciiTheme="minorHAnsi" w:hAnsiTheme="minorHAnsi"/>
                  <w:u w:val="single"/>
                  <w:lang w:eastAsia="sl-SI"/>
                </w:rPr>
                <w:t>http://www.fe.uni-mb.si/images/stories/jet/e-jet/jet_5-2.pdf</w:t>
              </w:r>
            </w:hyperlink>
            <w:r w:rsidRPr="00B51C69">
              <w:rPr>
                <w:rFonts w:asciiTheme="minorHAnsi" w:hAnsiTheme="minorHAnsi"/>
                <w:lang w:eastAsia="sl-SI"/>
              </w:rPr>
              <w:t xml:space="preserve">. [COBISS.SI-ID </w:t>
            </w:r>
            <w:hyperlink r:id="rId17" w:tgtFrame="_blank" w:history="1">
              <w:r w:rsidRPr="00B51C69">
                <w:rPr>
                  <w:rFonts w:asciiTheme="minorHAnsi" w:hAnsiTheme="minorHAnsi"/>
                  <w:u w:val="single"/>
                  <w:lang w:eastAsia="sl-SI"/>
                </w:rPr>
                <w:t>1024091228</w:t>
              </w:r>
            </w:hyperlink>
            <w:r w:rsidRPr="00B51C69">
              <w:rPr>
                <w:rFonts w:asciiTheme="minorHAnsi" w:hAnsiTheme="minorHAnsi"/>
                <w:lang w:eastAsia="sl-SI"/>
              </w:rPr>
              <w:t>]</w:t>
            </w:r>
            <w:r>
              <w:rPr>
                <w:rFonts w:asciiTheme="minorHAnsi" w:hAnsiTheme="minorHAnsi"/>
                <w:lang w:eastAsia="sl-SI"/>
              </w:rPr>
              <w:t>.</w:t>
            </w:r>
          </w:p>
          <w:p w14:paraId="012905C8" w14:textId="334D9E1A" w:rsidR="007D7287" w:rsidRPr="00B51C69" w:rsidRDefault="007D7287" w:rsidP="007D7287">
            <w:pPr>
              <w:rPr>
                <w:rFonts w:asciiTheme="minorHAnsi" w:hAnsiTheme="minorHAnsi"/>
                <w:b/>
                <w:lang w:eastAsia="sl-SI"/>
              </w:rPr>
            </w:pPr>
            <w:r w:rsidRPr="007747BF">
              <w:rPr>
                <w:rFonts w:asciiTheme="minorHAnsi" w:hAnsiTheme="minorHAnsi"/>
                <w:b/>
                <w:bCs/>
                <w:lang w:eastAsia="sl-SI"/>
              </w:rPr>
              <w:t>KNEZ, Matjaž</w:t>
            </w:r>
            <w:r w:rsidRPr="00B51C69">
              <w:rPr>
                <w:rFonts w:asciiTheme="minorHAnsi" w:hAnsiTheme="minorHAnsi"/>
                <w:lang w:eastAsia="sl-SI"/>
              </w:rPr>
              <w:t xml:space="preserve">, PREDIN, Andrej, ROSI, Bojan. Poslovni model OVE/F2G V.1 za učinkovitejši energetski menedžment logističnih podjetij. </w:t>
            </w:r>
            <w:r w:rsidRPr="00B51C69">
              <w:rPr>
                <w:rFonts w:asciiTheme="minorHAnsi" w:hAnsiTheme="minorHAnsi"/>
                <w:i/>
                <w:iCs/>
                <w:lang w:eastAsia="sl-SI"/>
              </w:rPr>
              <w:t>Proj. mreža Slov.</w:t>
            </w:r>
            <w:r w:rsidRPr="00B51C69">
              <w:rPr>
                <w:rFonts w:asciiTheme="minorHAnsi" w:hAnsiTheme="minorHAnsi"/>
                <w:lang w:eastAsia="sl-SI"/>
              </w:rPr>
              <w:t xml:space="preserve">, apr. 2012, letn. 15, št. 1, str. 10-17, 43, ilustr. [COBISS.SI-ID </w:t>
            </w:r>
            <w:hyperlink r:id="rId18" w:tgtFrame="_blank" w:history="1">
              <w:r w:rsidRPr="00B51C69">
                <w:rPr>
                  <w:rFonts w:asciiTheme="minorHAnsi" w:hAnsiTheme="minorHAnsi"/>
                  <w:u w:val="single"/>
                  <w:lang w:eastAsia="sl-SI"/>
                </w:rPr>
                <w:t>1024084572</w:t>
              </w:r>
            </w:hyperlink>
            <w:r w:rsidRPr="00B51C69">
              <w:rPr>
                <w:rFonts w:asciiTheme="minorHAnsi" w:hAnsiTheme="minorHAnsi"/>
                <w:lang w:eastAsia="sl-SI"/>
              </w:rPr>
              <w:t>]</w:t>
            </w:r>
            <w:r>
              <w:rPr>
                <w:rFonts w:asciiTheme="minorHAnsi" w:hAnsiTheme="minorHAnsi"/>
                <w:lang w:eastAsia="sl-SI"/>
              </w:rPr>
              <w:t>.</w:t>
            </w:r>
            <w:r w:rsidRPr="00B51C69">
              <w:rPr>
                <w:rFonts w:asciiTheme="minorHAnsi" w:hAnsiTheme="minorHAnsi"/>
                <w:lang w:eastAsia="sl-SI"/>
              </w:rPr>
              <w:t xml:space="preserve"> </w:t>
            </w:r>
          </w:p>
          <w:p w14:paraId="1DCF8B39" w14:textId="77777777" w:rsidR="007D7287" w:rsidRPr="00B51C69" w:rsidRDefault="007D7287" w:rsidP="007D7287">
            <w:pPr>
              <w:rPr>
                <w:rFonts w:asciiTheme="minorHAnsi" w:hAnsiTheme="minorHAnsi"/>
                <w:b/>
                <w:lang w:eastAsia="sl-SI"/>
              </w:rPr>
            </w:pPr>
            <w:r w:rsidRPr="00B51C69">
              <w:rPr>
                <w:rFonts w:asciiTheme="minorHAnsi" w:hAnsiTheme="minorHAnsi"/>
                <w:lang w:eastAsia="sl-SI"/>
              </w:rPr>
              <w:t xml:space="preserve">STERNAD, Marjan, </w:t>
            </w:r>
            <w:r w:rsidRPr="007747BF">
              <w:rPr>
                <w:rFonts w:asciiTheme="minorHAnsi" w:hAnsiTheme="minorHAnsi"/>
                <w:b/>
                <w:bCs/>
                <w:lang w:eastAsia="sl-SI"/>
              </w:rPr>
              <w:t>KNEZ, Matjaž,</w:t>
            </w:r>
            <w:r w:rsidRPr="00B51C69">
              <w:rPr>
                <w:rFonts w:asciiTheme="minorHAnsi" w:hAnsiTheme="minorHAnsi"/>
                <w:lang w:eastAsia="sl-SI"/>
              </w:rPr>
              <w:t xml:space="preserve"> ROSI, Bojan. Improving city transport with the objective to reduce CO[sub]2 emissions. </w:t>
            </w:r>
            <w:r w:rsidRPr="00B51C69">
              <w:rPr>
                <w:rFonts w:asciiTheme="minorHAnsi" w:hAnsiTheme="minorHAnsi"/>
                <w:i/>
                <w:iCs/>
                <w:lang w:eastAsia="sl-SI"/>
              </w:rPr>
              <w:t>Transport problems</w:t>
            </w:r>
            <w:r w:rsidRPr="00B51C69">
              <w:rPr>
                <w:rFonts w:asciiTheme="minorHAnsi" w:hAnsiTheme="minorHAnsi"/>
                <w:lang w:eastAsia="sl-SI"/>
              </w:rPr>
              <w:t xml:space="preserve">, 2010, vol. 5, iss. 4, str. 95-103. </w:t>
            </w:r>
            <w:hyperlink r:id="rId19" w:history="1">
              <w:r w:rsidRPr="00B51C69">
                <w:rPr>
                  <w:rFonts w:asciiTheme="minorHAnsi" w:hAnsiTheme="minorHAnsi"/>
                  <w:u w:val="single"/>
                  <w:lang w:eastAsia="sl-SI"/>
                </w:rPr>
                <w:t>http://transportproblems.polsl.pl/pl/Archiwum/2010/zeszyt4/2010t5z4_12.pdf</w:t>
              </w:r>
            </w:hyperlink>
            <w:r w:rsidRPr="00B51C69">
              <w:rPr>
                <w:rFonts w:asciiTheme="minorHAnsi" w:hAnsiTheme="minorHAnsi"/>
                <w:lang w:eastAsia="sl-SI"/>
              </w:rPr>
              <w:t xml:space="preserve">. [COBISS.SI-ID </w:t>
            </w:r>
            <w:hyperlink r:id="rId20" w:tgtFrame="_blank" w:history="1">
              <w:r w:rsidRPr="00B51C69">
                <w:rPr>
                  <w:rFonts w:asciiTheme="minorHAnsi" w:hAnsiTheme="minorHAnsi"/>
                  <w:u w:val="single"/>
                  <w:lang w:eastAsia="sl-SI"/>
                </w:rPr>
                <w:t>512283197</w:t>
              </w:r>
            </w:hyperlink>
            <w:r w:rsidRPr="00B51C69">
              <w:rPr>
                <w:rFonts w:asciiTheme="minorHAnsi" w:hAnsiTheme="minorHAnsi"/>
                <w:lang w:eastAsia="sl-SI"/>
              </w:rPr>
              <w:t xml:space="preserve">] </w:t>
            </w:r>
          </w:p>
          <w:p w14:paraId="3E1CBAB6" w14:textId="2FADF7D7" w:rsidR="007D7287" w:rsidRPr="00B51C69" w:rsidRDefault="007D7287" w:rsidP="007D7287">
            <w:pPr>
              <w:rPr>
                <w:rFonts w:asciiTheme="minorHAnsi" w:hAnsiTheme="minorHAnsi"/>
                <w:b/>
              </w:rPr>
            </w:pPr>
            <w:r w:rsidRPr="00B51C69">
              <w:rPr>
                <w:rFonts w:asciiTheme="minorHAnsi" w:hAnsiTheme="minorHAnsi"/>
              </w:rPr>
              <w:t xml:space="preserve">STERNAD, Marjan, TOPOLŠEK, Darja, </w:t>
            </w:r>
            <w:r w:rsidRPr="007747BF">
              <w:rPr>
                <w:rFonts w:asciiTheme="minorHAnsi" w:hAnsiTheme="minorHAnsi"/>
                <w:b/>
                <w:bCs/>
              </w:rPr>
              <w:t>KNEZ, Matjaž</w:t>
            </w:r>
            <w:r w:rsidRPr="00B51C69">
              <w:rPr>
                <w:rFonts w:asciiTheme="minorHAnsi" w:hAnsiTheme="minorHAnsi"/>
              </w:rPr>
              <w:t xml:space="preserve">. The case of Slovenian international comparative advantage in logistics services. Strategic management, ISSN 1821-3448, 2012, vol. 17, no. 2, str. 22-30, ilustr., tabela. [COBISS.SI-ID </w:t>
            </w:r>
            <w:hyperlink r:id="rId21" w:tgtFrame="_blank" w:history="1">
              <w:r w:rsidRPr="00B51C69">
                <w:rPr>
                  <w:rFonts w:asciiTheme="minorHAnsi" w:hAnsiTheme="minorHAnsi"/>
                </w:rPr>
                <w:t>512434237</w:t>
              </w:r>
            </w:hyperlink>
            <w:r w:rsidRPr="00B51C69">
              <w:rPr>
                <w:rFonts w:asciiTheme="minorHAnsi" w:hAnsiTheme="minorHAnsi"/>
              </w:rPr>
              <w:t>]</w:t>
            </w:r>
            <w:r>
              <w:rPr>
                <w:rFonts w:asciiTheme="minorHAnsi" w:hAnsiTheme="minorHAnsi"/>
              </w:rPr>
              <w:t>.</w:t>
            </w:r>
          </w:p>
          <w:p w14:paraId="6F33B583" w14:textId="2ED689C5" w:rsidR="007D7287" w:rsidRPr="00B51C69" w:rsidRDefault="007D7287" w:rsidP="007D7287">
            <w:pPr>
              <w:rPr>
                <w:rFonts w:asciiTheme="minorHAnsi" w:hAnsiTheme="minorHAnsi"/>
                <w:b/>
              </w:rPr>
            </w:pPr>
            <w:bookmarkStart w:id="0" w:name="1"/>
            <w:bookmarkEnd w:id="0"/>
            <w:r w:rsidRPr="007747BF">
              <w:rPr>
                <w:rFonts w:asciiTheme="minorHAnsi" w:hAnsiTheme="minorHAnsi"/>
                <w:b/>
                <w:bCs/>
              </w:rPr>
              <w:t>KNEZ, Matjaž</w:t>
            </w:r>
            <w:r w:rsidRPr="00B51C69">
              <w:rPr>
                <w:rFonts w:asciiTheme="minorHAnsi" w:hAnsiTheme="minorHAnsi"/>
              </w:rPr>
              <w:t xml:space="preserve">, MUNEER, Tariq, JEREB, Borut, CULLINANE, Kevin. The estimation of a driving cycle for Celje and a comparison to other European cities. Sustainable cities and society, ISSN 2210-6715. [Spletna izd.], Feb. 2014, vol. 11, str. 56-60, doi: </w:t>
            </w:r>
            <w:hyperlink r:id="rId22" w:tgtFrame="doi" w:history="1">
              <w:r w:rsidRPr="00B51C69">
                <w:rPr>
                  <w:rFonts w:asciiTheme="minorHAnsi" w:hAnsiTheme="minorHAnsi"/>
                </w:rPr>
                <w:t>10.1016/j.scs.2013.11.010</w:t>
              </w:r>
            </w:hyperlink>
            <w:r w:rsidRPr="00B51C69">
              <w:rPr>
                <w:rFonts w:asciiTheme="minorHAnsi" w:hAnsiTheme="minorHAnsi"/>
              </w:rPr>
              <w:t xml:space="preserve">. [COBISS.SI-ID </w:t>
            </w:r>
            <w:hyperlink r:id="rId23" w:tgtFrame="_blank" w:history="1">
              <w:r w:rsidRPr="00B51C69">
                <w:rPr>
                  <w:rFonts w:asciiTheme="minorHAnsi" w:hAnsiTheme="minorHAnsi"/>
                </w:rPr>
                <w:t>512556349</w:t>
              </w:r>
            </w:hyperlink>
            <w:r>
              <w:rPr>
                <w:rFonts w:asciiTheme="minorHAnsi" w:hAnsiTheme="minorHAnsi"/>
              </w:rPr>
              <w:t>].</w:t>
            </w:r>
          </w:p>
          <w:p w14:paraId="2DC75F92" w14:textId="2876975E" w:rsidR="007D7287" w:rsidRPr="00B51C69" w:rsidRDefault="007D7287" w:rsidP="007D7287">
            <w:pPr>
              <w:rPr>
                <w:rFonts w:asciiTheme="minorHAnsi" w:hAnsiTheme="minorHAnsi"/>
                <w:b/>
              </w:rPr>
            </w:pPr>
            <w:r w:rsidRPr="007747BF">
              <w:rPr>
                <w:rFonts w:asciiTheme="minorHAnsi" w:hAnsiTheme="minorHAnsi"/>
                <w:b/>
                <w:bCs/>
              </w:rPr>
              <w:t>KNEZ, Matjaž</w:t>
            </w:r>
            <w:r w:rsidRPr="00B51C69">
              <w:rPr>
                <w:rFonts w:asciiTheme="minorHAnsi" w:hAnsiTheme="minorHAnsi"/>
              </w:rPr>
              <w:t xml:space="preserve">, JEREB, Borut, OBRECHT, Matevž. Factors influencing the purchasing decisions of low emission cars : a study of Slovenia. Transportation research. Part D, Transport and environment, ISSN 1361-9209. [Print ed.], July 2014, vol. 30, str. 53-61. </w:t>
            </w:r>
            <w:hyperlink r:id="rId24" w:history="1">
              <w:r w:rsidRPr="00B51C69">
                <w:rPr>
                  <w:rFonts w:asciiTheme="minorHAnsi" w:hAnsiTheme="minorHAnsi"/>
                </w:rPr>
                <w:t>http://www.sciencedirect.com/science/article/pii/S1361920914000339</w:t>
              </w:r>
            </w:hyperlink>
            <w:r w:rsidRPr="00B51C69">
              <w:rPr>
                <w:rFonts w:asciiTheme="minorHAnsi" w:hAnsiTheme="minorHAnsi"/>
              </w:rPr>
              <w:t xml:space="preserve">, doi: </w:t>
            </w:r>
            <w:hyperlink r:id="rId25" w:tgtFrame="doi" w:history="1">
              <w:r w:rsidRPr="00B51C69">
                <w:rPr>
                  <w:rFonts w:asciiTheme="minorHAnsi" w:hAnsiTheme="minorHAnsi"/>
                </w:rPr>
                <w:t>10.1016/j.trd.2014.05.007</w:t>
              </w:r>
            </w:hyperlink>
            <w:r w:rsidRPr="00B51C69">
              <w:rPr>
                <w:rFonts w:asciiTheme="minorHAnsi" w:hAnsiTheme="minorHAnsi"/>
              </w:rPr>
              <w:t xml:space="preserve">. [COBISS.SI-ID </w:t>
            </w:r>
            <w:hyperlink r:id="rId26" w:tgtFrame="_blank" w:history="1">
              <w:r w:rsidRPr="00B51C69">
                <w:rPr>
                  <w:rFonts w:asciiTheme="minorHAnsi" w:hAnsiTheme="minorHAnsi"/>
                </w:rPr>
                <w:t>512566077</w:t>
              </w:r>
            </w:hyperlink>
            <w:r>
              <w:rPr>
                <w:rFonts w:asciiTheme="minorHAnsi" w:hAnsiTheme="minorHAnsi"/>
              </w:rPr>
              <w:t>].</w:t>
            </w:r>
          </w:p>
          <w:p w14:paraId="41AC7B40" w14:textId="6F323497" w:rsidR="007D7287" w:rsidRPr="007D7287" w:rsidRDefault="007D7287" w:rsidP="007D7287">
            <w:pPr>
              <w:rPr>
                <w:rFonts w:asciiTheme="minorHAnsi" w:hAnsiTheme="minorHAnsi"/>
                <w:b/>
              </w:rPr>
            </w:pPr>
            <w:r w:rsidRPr="00B51C69">
              <w:rPr>
                <w:rFonts w:asciiTheme="minorHAnsi" w:hAnsiTheme="minorHAnsi"/>
              </w:rPr>
              <w:t xml:space="preserve">MUNEER, Tariq, MILLIGAN, Ross, SMITH, Ian, DOYLE, Aisling, POZUELO, Miguel, </w:t>
            </w:r>
            <w:r w:rsidRPr="007747BF">
              <w:rPr>
                <w:rFonts w:asciiTheme="minorHAnsi" w:hAnsiTheme="minorHAnsi"/>
                <w:b/>
                <w:bCs/>
              </w:rPr>
              <w:t>KNEZ, Matjaž</w:t>
            </w:r>
            <w:r w:rsidRPr="00B51C69">
              <w:rPr>
                <w:rFonts w:asciiTheme="minorHAnsi" w:hAnsiTheme="minorHAnsi"/>
              </w:rPr>
              <w:t xml:space="preserve">. Energetic, environmental and economic performance of electric vehicles : experimental evaluation. Transportation research. Part D, Transport and environment, ISSN 1361-9209. [Print ed.], 2015, vol. 35, no. [1], str. 40-61. </w:t>
            </w:r>
            <w:hyperlink r:id="rId27" w:history="1">
              <w:r w:rsidRPr="00B51C69">
                <w:rPr>
                  <w:rFonts w:asciiTheme="minorHAnsi" w:hAnsiTheme="minorHAnsi"/>
                </w:rPr>
                <w:t>http://www.sciencedirect.com/science/article/pii/S1361920914001783</w:t>
              </w:r>
            </w:hyperlink>
            <w:r w:rsidRPr="00B51C69">
              <w:rPr>
                <w:rFonts w:asciiTheme="minorHAnsi" w:hAnsiTheme="minorHAnsi"/>
              </w:rPr>
              <w:t xml:space="preserve">, doi: </w:t>
            </w:r>
            <w:hyperlink r:id="rId28" w:tgtFrame="doi" w:history="1">
              <w:r w:rsidRPr="00B51C69">
                <w:rPr>
                  <w:rFonts w:asciiTheme="minorHAnsi" w:hAnsiTheme="minorHAnsi"/>
                </w:rPr>
                <w:t>10.1016/j.trd.2014.11.015</w:t>
              </w:r>
            </w:hyperlink>
            <w:r w:rsidRPr="00B51C69">
              <w:rPr>
                <w:rFonts w:asciiTheme="minorHAnsi" w:hAnsiTheme="minorHAnsi"/>
              </w:rPr>
              <w:t xml:space="preserve">. [COBISS.SI-ID </w:t>
            </w:r>
            <w:hyperlink r:id="rId29" w:tgtFrame="_blank" w:history="1">
              <w:r w:rsidRPr="00B51C69">
                <w:rPr>
                  <w:rFonts w:asciiTheme="minorHAnsi" w:hAnsiTheme="minorHAnsi"/>
                </w:rPr>
                <w:t>512609853</w:t>
              </w:r>
            </w:hyperlink>
            <w:r>
              <w:rPr>
                <w:rFonts w:asciiTheme="minorHAnsi" w:hAnsiTheme="minorHAnsi"/>
              </w:rPr>
              <w:t>].</w:t>
            </w:r>
          </w:p>
        </w:tc>
      </w:tr>
    </w:tbl>
    <w:p w14:paraId="2B55261E" w14:textId="77777777" w:rsidR="005A11E4" w:rsidRDefault="005A11E4" w:rsidP="005A11E4">
      <w:pPr>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30"/>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72974" w14:textId="77777777" w:rsidR="00F23940" w:rsidRDefault="00F23940" w:rsidP="00703ADE">
      <w:r>
        <w:separator/>
      </w:r>
    </w:p>
  </w:endnote>
  <w:endnote w:type="continuationSeparator" w:id="0">
    <w:p w14:paraId="41DBCC6A" w14:textId="77777777" w:rsidR="00F23940" w:rsidRDefault="00F23940" w:rsidP="00703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11BCB6E3"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7D7287">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7D7287">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50EE5" w14:textId="77777777" w:rsidR="00F23940" w:rsidRDefault="00F23940" w:rsidP="00703ADE">
      <w:r>
        <w:separator/>
      </w:r>
    </w:p>
  </w:footnote>
  <w:footnote w:type="continuationSeparator" w:id="0">
    <w:p w14:paraId="29D810B2" w14:textId="77777777" w:rsidR="00F23940" w:rsidRDefault="00F23940" w:rsidP="00703A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BC8"/>
    <w:multiLevelType w:val="multilevel"/>
    <w:tmpl w:val="649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B3F5A"/>
    <w:multiLevelType w:val="multilevel"/>
    <w:tmpl w:val="65921C8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07562B79"/>
    <w:multiLevelType w:val="hybridMultilevel"/>
    <w:tmpl w:val="A028AF8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7B30092"/>
    <w:multiLevelType w:val="hybridMultilevel"/>
    <w:tmpl w:val="0DC2480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8B40B87"/>
    <w:multiLevelType w:val="multilevel"/>
    <w:tmpl w:val="FAC267C8"/>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0A0A5A8A"/>
    <w:multiLevelType w:val="hybridMultilevel"/>
    <w:tmpl w:val="610C853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B236A34"/>
    <w:multiLevelType w:val="hybridMultilevel"/>
    <w:tmpl w:val="0A2EC5FA"/>
    <w:lvl w:ilvl="0" w:tplc="D49018A0">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7"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8" w15:restartNumberingAfterBreak="0">
    <w:nsid w:val="10251B69"/>
    <w:multiLevelType w:val="hybridMultilevel"/>
    <w:tmpl w:val="61E4F408"/>
    <w:lvl w:ilvl="0" w:tplc="6BE25F4E">
      <w:start w:val="1"/>
      <w:numFmt w:val="bullet"/>
      <w:lvlText w:val="•"/>
      <w:lvlJc w:val="left"/>
      <w:pPr>
        <w:tabs>
          <w:tab w:val="num" w:pos="720"/>
        </w:tabs>
        <w:ind w:left="720" w:hanging="360"/>
      </w:pPr>
      <w:rPr>
        <w:rFonts w:ascii="Arial" w:hAnsi="Arial" w:hint="default"/>
      </w:rPr>
    </w:lvl>
    <w:lvl w:ilvl="1" w:tplc="B1DE1EEC">
      <w:start w:val="1"/>
      <w:numFmt w:val="bullet"/>
      <w:lvlText w:val="•"/>
      <w:lvlJc w:val="left"/>
      <w:pPr>
        <w:tabs>
          <w:tab w:val="num" w:pos="1440"/>
        </w:tabs>
        <w:ind w:left="1440" w:hanging="360"/>
      </w:pPr>
      <w:rPr>
        <w:rFonts w:ascii="Arial" w:hAnsi="Arial" w:hint="default"/>
      </w:rPr>
    </w:lvl>
    <w:lvl w:ilvl="2" w:tplc="92B6CB10" w:tentative="1">
      <w:start w:val="1"/>
      <w:numFmt w:val="bullet"/>
      <w:lvlText w:val="•"/>
      <w:lvlJc w:val="left"/>
      <w:pPr>
        <w:tabs>
          <w:tab w:val="num" w:pos="2160"/>
        </w:tabs>
        <w:ind w:left="2160" w:hanging="360"/>
      </w:pPr>
      <w:rPr>
        <w:rFonts w:ascii="Arial" w:hAnsi="Arial" w:hint="default"/>
      </w:rPr>
    </w:lvl>
    <w:lvl w:ilvl="3" w:tplc="D730FD02" w:tentative="1">
      <w:start w:val="1"/>
      <w:numFmt w:val="bullet"/>
      <w:lvlText w:val="•"/>
      <w:lvlJc w:val="left"/>
      <w:pPr>
        <w:tabs>
          <w:tab w:val="num" w:pos="2880"/>
        </w:tabs>
        <w:ind w:left="2880" w:hanging="360"/>
      </w:pPr>
      <w:rPr>
        <w:rFonts w:ascii="Arial" w:hAnsi="Arial" w:hint="default"/>
      </w:rPr>
    </w:lvl>
    <w:lvl w:ilvl="4" w:tplc="D17E816C" w:tentative="1">
      <w:start w:val="1"/>
      <w:numFmt w:val="bullet"/>
      <w:lvlText w:val="•"/>
      <w:lvlJc w:val="left"/>
      <w:pPr>
        <w:tabs>
          <w:tab w:val="num" w:pos="3600"/>
        </w:tabs>
        <w:ind w:left="3600" w:hanging="360"/>
      </w:pPr>
      <w:rPr>
        <w:rFonts w:ascii="Arial" w:hAnsi="Arial" w:hint="default"/>
      </w:rPr>
    </w:lvl>
    <w:lvl w:ilvl="5" w:tplc="8A02FF96" w:tentative="1">
      <w:start w:val="1"/>
      <w:numFmt w:val="bullet"/>
      <w:lvlText w:val="•"/>
      <w:lvlJc w:val="left"/>
      <w:pPr>
        <w:tabs>
          <w:tab w:val="num" w:pos="4320"/>
        </w:tabs>
        <w:ind w:left="4320" w:hanging="360"/>
      </w:pPr>
      <w:rPr>
        <w:rFonts w:ascii="Arial" w:hAnsi="Arial" w:hint="default"/>
      </w:rPr>
    </w:lvl>
    <w:lvl w:ilvl="6" w:tplc="E682991C" w:tentative="1">
      <w:start w:val="1"/>
      <w:numFmt w:val="bullet"/>
      <w:lvlText w:val="•"/>
      <w:lvlJc w:val="left"/>
      <w:pPr>
        <w:tabs>
          <w:tab w:val="num" w:pos="5040"/>
        </w:tabs>
        <w:ind w:left="5040" w:hanging="360"/>
      </w:pPr>
      <w:rPr>
        <w:rFonts w:ascii="Arial" w:hAnsi="Arial" w:hint="default"/>
      </w:rPr>
    </w:lvl>
    <w:lvl w:ilvl="7" w:tplc="2D50D0C4" w:tentative="1">
      <w:start w:val="1"/>
      <w:numFmt w:val="bullet"/>
      <w:lvlText w:val="•"/>
      <w:lvlJc w:val="left"/>
      <w:pPr>
        <w:tabs>
          <w:tab w:val="num" w:pos="5760"/>
        </w:tabs>
        <w:ind w:left="5760" w:hanging="360"/>
      </w:pPr>
      <w:rPr>
        <w:rFonts w:ascii="Arial" w:hAnsi="Arial" w:hint="default"/>
      </w:rPr>
    </w:lvl>
    <w:lvl w:ilvl="8" w:tplc="6C380A7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4524714"/>
    <w:multiLevelType w:val="hybridMultilevel"/>
    <w:tmpl w:val="0EBA54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72A62A5"/>
    <w:multiLevelType w:val="singleLevel"/>
    <w:tmpl w:val="0424000F"/>
    <w:lvl w:ilvl="0">
      <w:start w:val="1"/>
      <w:numFmt w:val="decimal"/>
      <w:lvlText w:val="%1."/>
      <w:lvlJc w:val="left"/>
      <w:pPr>
        <w:tabs>
          <w:tab w:val="num" w:pos="360"/>
        </w:tabs>
        <w:ind w:left="360" w:hanging="360"/>
      </w:pPr>
      <w:rPr>
        <w:rFonts w:hint="default"/>
      </w:rPr>
    </w:lvl>
  </w:abstractNum>
  <w:abstractNum w:abstractNumId="11" w15:restartNumberingAfterBreak="0">
    <w:nsid w:val="17FF4219"/>
    <w:multiLevelType w:val="hybridMultilevel"/>
    <w:tmpl w:val="38C6635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AFE321C"/>
    <w:multiLevelType w:val="hybridMultilevel"/>
    <w:tmpl w:val="41DAA2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ED338E4"/>
    <w:multiLevelType w:val="hybridMultilevel"/>
    <w:tmpl w:val="9B2EDC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2427851"/>
    <w:multiLevelType w:val="hybridMultilevel"/>
    <w:tmpl w:val="0602F4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EB2D7A"/>
    <w:multiLevelType w:val="hybridMultilevel"/>
    <w:tmpl w:val="B2922F02"/>
    <w:lvl w:ilvl="0" w:tplc="CED6804A">
      <w:start w:val="1"/>
      <w:numFmt w:val="decimal"/>
      <w:lvlText w:val="%1."/>
      <w:lvlJc w:val="left"/>
      <w:pPr>
        <w:ind w:left="720" w:hanging="360"/>
      </w:pPr>
      <w:rPr>
        <w:rFonts w:ascii="Calibri" w:eastAsia="Times New Roman" w:hAnsi="Calibri"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88E0A74"/>
    <w:multiLevelType w:val="hybridMultilevel"/>
    <w:tmpl w:val="468024F2"/>
    <w:lvl w:ilvl="0" w:tplc="04240001">
      <w:start w:val="1"/>
      <w:numFmt w:val="bullet"/>
      <w:lvlText w:val=""/>
      <w:lvlJc w:val="left"/>
      <w:pPr>
        <w:ind w:left="1425" w:hanging="705"/>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28F27AA2"/>
    <w:multiLevelType w:val="hybridMultilevel"/>
    <w:tmpl w:val="AB72B018"/>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C97919"/>
    <w:multiLevelType w:val="multilevel"/>
    <w:tmpl w:val="F60C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860ABE"/>
    <w:multiLevelType w:val="multilevel"/>
    <w:tmpl w:val="8426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DE4BBF"/>
    <w:multiLevelType w:val="hybridMultilevel"/>
    <w:tmpl w:val="5D667500"/>
    <w:lvl w:ilvl="0" w:tplc="04240001">
      <w:start w:val="1"/>
      <w:numFmt w:val="bullet"/>
      <w:lvlText w:val=""/>
      <w:lvlJc w:val="left"/>
      <w:pPr>
        <w:tabs>
          <w:tab w:val="num" w:pos="360"/>
        </w:tabs>
        <w:ind w:left="360" w:hanging="360"/>
      </w:pPr>
      <w:rPr>
        <w:rFonts w:ascii="Symbol" w:hAnsi="Symbol" w:hint="default"/>
      </w:rPr>
    </w:lvl>
    <w:lvl w:ilvl="1" w:tplc="CA26BC04">
      <w:numFmt w:val="bullet"/>
      <w:lvlText w:val="•"/>
      <w:lvlJc w:val="left"/>
      <w:pPr>
        <w:ind w:left="1080" w:hanging="360"/>
      </w:pPr>
      <w:rPr>
        <w:rFonts w:ascii="Calibri" w:eastAsia="Times New Roman" w:hAnsi="Calibri" w:cs="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D593CC9"/>
    <w:multiLevelType w:val="hybridMultilevel"/>
    <w:tmpl w:val="5D8C5550"/>
    <w:lvl w:ilvl="0" w:tplc="4CD891DC">
      <w:start w:val="1"/>
      <w:numFmt w:val="bullet"/>
      <w:lvlText w:val=""/>
      <w:lvlJc w:val="left"/>
      <w:pPr>
        <w:tabs>
          <w:tab w:val="num" w:pos="360"/>
        </w:tabs>
        <w:ind w:left="360" w:hanging="360"/>
      </w:pPr>
      <w:rPr>
        <w:rFonts w:ascii="Symbol" w:hAnsi="Symbol" w:hint="default"/>
      </w:rPr>
    </w:lvl>
    <w:lvl w:ilvl="1" w:tplc="2DBE1FB4" w:tentative="1">
      <w:start w:val="1"/>
      <w:numFmt w:val="bullet"/>
      <w:lvlText w:val="o"/>
      <w:lvlJc w:val="left"/>
      <w:pPr>
        <w:tabs>
          <w:tab w:val="num" w:pos="1440"/>
        </w:tabs>
        <w:ind w:left="1440" w:hanging="360"/>
      </w:pPr>
      <w:rPr>
        <w:rFonts w:ascii="Courier New" w:hAnsi="Courier New" w:hint="default"/>
      </w:rPr>
    </w:lvl>
    <w:lvl w:ilvl="2" w:tplc="AB9054D2" w:tentative="1">
      <w:start w:val="1"/>
      <w:numFmt w:val="bullet"/>
      <w:lvlText w:val=""/>
      <w:lvlJc w:val="left"/>
      <w:pPr>
        <w:tabs>
          <w:tab w:val="num" w:pos="2160"/>
        </w:tabs>
        <w:ind w:left="2160" w:hanging="360"/>
      </w:pPr>
      <w:rPr>
        <w:rFonts w:ascii="Wingdings" w:hAnsi="Wingdings" w:hint="default"/>
      </w:rPr>
    </w:lvl>
    <w:lvl w:ilvl="3" w:tplc="83024ED0" w:tentative="1">
      <w:start w:val="1"/>
      <w:numFmt w:val="bullet"/>
      <w:lvlText w:val=""/>
      <w:lvlJc w:val="left"/>
      <w:pPr>
        <w:tabs>
          <w:tab w:val="num" w:pos="2880"/>
        </w:tabs>
        <w:ind w:left="2880" w:hanging="360"/>
      </w:pPr>
      <w:rPr>
        <w:rFonts w:ascii="Symbol" w:hAnsi="Symbol" w:hint="default"/>
      </w:rPr>
    </w:lvl>
    <w:lvl w:ilvl="4" w:tplc="FACE35BE" w:tentative="1">
      <w:start w:val="1"/>
      <w:numFmt w:val="bullet"/>
      <w:lvlText w:val="o"/>
      <w:lvlJc w:val="left"/>
      <w:pPr>
        <w:tabs>
          <w:tab w:val="num" w:pos="3600"/>
        </w:tabs>
        <w:ind w:left="3600" w:hanging="360"/>
      </w:pPr>
      <w:rPr>
        <w:rFonts w:ascii="Courier New" w:hAnsi="Courier New" w:hint="default"/>
      </w:rPr>
    </w:lvl>
    <w:lvl w:ilvl="5" w:tplc="0DC45E20" w:tentative="1">
      <w:start w:val="1"/>
      <w:numFmt w:val="bullet"/>
      <w:lvlText w:val=""/>
      <w:lvlJc w:val="left"/>
      <w:pPr>
        <w:tabs>
          <w:tab w:val="num" w:pos="4320"/>
        </w:tabs>
        <w:ind w:left="4320" w:hanging="360"/>
      </w:pPr>
      <w:rPr>
        <w:rFonts w:ascii="Wingdings" w:hAnsi="Wingdings" w:hint="default"/>
      </w:rPr>
    </w:lvl>
    <w:lvl w:ilvl="6" w:tplc="8DCEB1BE" w:tentative="1">
      <w:start w:val="1"/>
      <w:numFmt w:val="bullet"/>
      <w:lvlText w:val=""/>
      <w:lvlJc w:val="left"/>
      <w:pPr>
        <w:tabs>
          <w:tab w:val="num" w:pos="5040"/>
        </w:tabs>
        <w:ind w:left="5040" w:hanging="360"/>
      </w:pPr>
      <w:rPr>
        <w:rFonts w:ascii="Symbol" w:hAnsi="Symbol" w:hint="default"/>
      </w:rPr>
    </w:lvl>
    <w:lvl w:ilvl="7" w:tplc="36A6E0FC" w:tentative="1">
      <w:start w:val="1"/>
      <w:numFmt w:val="bullet"/>
      <w:lvlText w:val="o"/>
      <w:lvlJc w:val="left"/>
      <w:pPr>
        <w:tabs>
          <w:tab w:val="num" w:pos="5760"/>
        </w:tabs>
        <w:ind w:left="5760" w:hanging="360"/>
      </w:pPr>
      <w:rPr>
        <w:rFonts w:ascii="Courier New" w:hAnsi="Courier New" w:hint="default"/>
      </w:rPr>
    </w:lvl>
    <w:lvl w:ilvl="8" w:tplc="B418B33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AD4FE7"/>
    <w:multiLevelType w:val="hybridMultilevel"/>
    <w:tmpl w:val="19367952"/>
    <w:lvl w:ilvl="0" w:tplc="ED9AC7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158BF"/>
    <w:multiLevelType w:val="hybridMultilevel"/>
    <w:tmpl w:val="36A6E27C"/>
    <w:lvl w:ilvl="0" w:tplc="02D27BD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F5A06E0"/>
    <w:multiLevelType w:val="hybridMultilevel"/>
    <w:tmpl w:val="BB7ADE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4B27C9E"/>
    <w:multiLevelType w:val="hybridMultilevel"/>
    <w:tmpl w:val="2B525D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5B465BA9"/>
    <w:multiLevelType w:val="hybridMultilevel"/>
    <w:tmpl w:val="5798C30C"/>
    <w:lvl w:ilvl="0" w:tplc="6E448B16">
      <w:start w:val="6"/>
      <w:numFmt w:val="bullet"/>
      <w:lvlText w:val="-"/>
      <w:lvlJc w:val="left"/>
      <w:pPr>
        <w:ind w:left="720" w:hanging="360"/>
      </w:pPr>
      <w:rPr>
        <w:rFonts w:ascii="Century Gothic" w:eastAsia="Times New Roman" w:hAnsi="Century Gothic"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F80A7E"/>
    <w:multiLevelType w:val="hybridMultilevel"/>
    <w:tmpl w:val="58182656"/>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F975EDE"/>
    <w:multiLevelType w:val="hybridMultilevel"/>
    <w:tmpl w:val="797E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552A5"/>
    <w:multiLevelType w:val="hybridMultilevel"/>
    <w:tmpl w:val="AF1EBB26"/>
    <w:lvl w:ilvl="0" w:tplc="ED9AC78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48812B1"/>
    <w:multiLevelType w:val="hybridMultilevel"/>
    <w:tmpl w:val="5F5224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68A43C14"/>
    <w:multiLevelType w:val="hybridMultilevel"/>
    <w:tmpl w:val="2F8EA69A"/>
    <w:lvl w:ilvl="0" w:tplc="9E9E85A8">
      <w:numFmt w:val="bullet"/>
      <w:pStyle w:val="Slog1"/>
      <w:lvlText w:val="-"/>
      <w:lvlJc w:val="left"/>
      <w:pPr>
        <w:ind w:left="1773" w:hanging="360"/>
      </w:pPr>
      <w:rPr>
        <w:rFonts w:ascii="Calibri" w:eastAsia="Times New Roman" w:hAnsi="Calibri" w:hint="default"/>
      </w:rPr>
    </w:lvl>
    <w:lvl w:ilvl="1" w:tplc="04240003" w:tentative="1">
      <w:start w:val="1"/>
      <w:numFmt w:val="bullet"/>
      <w:lvlText w:val="o"/>
      <w:lvlJc w:val="left"/>
      <w:pPr>
        <w:ind w:left="2493" w:hanging="360"/>
      </w:pPr>
      <w:rPr>
        <w:rFonts w:ascii="Courier New" w:hAnsi="Courier New" w:hint="default"/>
      </w:rPr>
    </w:lvl>
    <w:lvl w:ilvl="2" w:tplc="04240005" w:tentative="1">
      <w:start w:val="1"/>
      <w:numFmt w:val="bullet"/>
      <w:lvlText w:val=""/>
      <w:lvlJc w:val="left"/>
      <w:pPr>
        <w:ind w:left="3213" w:hanging="360"/>
      </w:pPr>
      <w:rPr>
        <w:rFonts w:ascii="Wingdings" w:hAnsi="Wingdings" w:hint="default"/>
      </w:rPr>
    </w:lvl>
    <w:lvl w:ilvl="3" w:tplc="04240001" w:tentative="1">
      <w:start w:val="1"/>
      <w:numFmt w:val="bullet"/>
      <w:lvlText w:val=""/>
      <w:lvlJc w:val="left"/>
      <w:pPr>
        <w:ind w:left="3933" w:hanging="360"/>
      </w:pPr>
      <w:rPr>
        <w:rFonts w:ascii="Symbol" w:hAnsi="Symbol" w:hint="default"/>
      </w:rPr>
    </w:lvl>
    <w:lvl w:ilvl="4" w:tplc="04240003" w:tentative="1">
      <w:start w:val="1"/>
      <w:numFmt w:val="bullet"/>
      <w:lvlText w:val="o"/>
      <w:lvlJc w:val="left"/>
      <w:pPr>
        <w:ind w:left="4653" w:hanging="360"/>
      </w:pPr>
      <w:rPr>
        <w:rFonts w:ascii="Courier New" w:hAnsi="Courier New" w:hint="default"/>
      </w:rPr>
    </w:lvl>
    <w:lvl w:ilvl="5" w:tplc="04240005" w:tentative="1">
      <w:start w:val="1"/>
      <w:numFmt w:val="bullet"/>
      <w:lvlText w:val=""/>
      <w:lvlJc w:val="left"/>
      <w:pPr>
        <w:ind w:left="5373" w:hanging="360"/>
      </w:pPr>
      <w:rPr>
        <w:rFonts w:ascii="Wingdings" w:hAnsi="Wingdings" w:hint="default"/>
      </w:rPr>
    </w:lvl>
    <w:lvl w:ilvl="6" w:tplc="04240001" w:tentative="1">
      <w:start w:val="1"/>
      <w:numFmt w:val="bullet"/>
      <w:lvlText w:val=""/>
      <w:lvlJc w:val="left"/>
      <w:pPr>
        <w:ind w:left="6093" w:hanging="360"/>
      </w:pPr>
      <w:rPr>
        <w:rFonts w:ascii="Symbol" w:hAnsi="Symbol" w:hint="default"/>
      </w:rPr>
    </w:lvl>
    <w:lvl w:ilvl="7" w:tplc="04240003" w:tentative="1">
      <w:start w:val="1"/>
      <w:numFmt w:val="bullet"/>
      <w:lvlText w:val="o"/>
      <w:lvlJc w:val="left"/>
      <w:pPr>
        <w:ind w:left="6813" w:hanging="360"/>
      </w:pPr>
      <w:rPr>
        <w:rFonts w:ascii="Courier New" w:hAnsi="Courier New" w:hint="default"/>
      </w:rPr>
    </w:lvl>
    <w:lvl w:ilvl="8" w:tplc="04240005" w:tentative="1">
      <w:start w:val="1"/>
      <w:numFmt w:val="bullet"/>
      <w:lvlText w:val=""/>
      <w:lvlJc w:val="left"/>
      <w:pPr>
        <w:ind w:left="7533" w:hanging="360"/>
      </w:pPr>
      <w:rPr>
        <w:rFonts w:ascii="Wingdings" w:hAnsi="Wingdings" w:hint="default"/>
      </w:rPr>
    </w:lvl>
  </w:abstractNum>
  <w:abstractNum w:abstractNumId="32" w15:restartNumberingAfterBreak="0">
    <w:nsid w:val="6DB74E48"/>
    <w:multiLevelType w:val="hybridMultilevel"/>
    <w:tmpl w:val="B6022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F6A0187"/>
    <w:multiLevelType w:val="hybridMultilevel"/>
    <w:tmpl w:val="A524EF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FC17E9D"/>
    <w:multiLevelType w:val="multilevel"/>
    <w:tmpl w:val="A4F2430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735842DE"/>
    <w:multiLevelType w:val="multilevel"/>
    <w:tmpl w:val="0DF2767C"/>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739E3B64"/>
    <w:multiLevelType w:val="multilevel"/>
    <w:tmpl w:val="51E2B7C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77670919"/>
    <w:multiLevelType w:val="multilevel"/>
    <w:tmpl w:val="89983648"/>
    <w:lvl w:ilvl="0">
      <w:start w:val="1"/>
      <w:numFmt w:val="bullet"/>
      <w:lvlText w:val=""/>
      <w:lvlJc w:val="left"/>
      <w:pPr>
        <w:tabs>
          <w:tab w:val="num" w:pos="360"/>
        </w:tabs>
        <w:ind w:left="360" w:hanging="360"/>
      </w:pPr>
      <w:rPr>
        <w:rFonts w:ascii="Symbol" w:hAnsi="Symbol" w:cs="Symbol" w:hint="default"/>
        <w:b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8" w15:restartNumberingAfterBreak="0">
    <w:nsid w:val="79D77F0D"/>
    <w:multiLevelType w:val="hybridMultilevel"/>
    <w:tmpl w:val="08D41AB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F2D41FF"/>
    <w:multiLevelType w:val="multilevel"/>
    <w:tmpl w:val="1BF630D2"/>
    <w:lvl w:ilvl="0">
      <w:start w:val="1"/>
      <w:numFmt w:val="bullet"/>
      <w:lvlText w:val=""/>
      <w:lvlJc w:val="left"/>
      <w:pPr>
        <w:ind w:left="360" w:hanging="360"/>
      </w:pPr>
      <w:rPr>
        <w:rFonts w:ascii="Symbol" w:hAnsi="Symbol" w:cs="Symbol" w:hint="default"/>
        <w:b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0" w15:restartNumberingAfterBreak="0">
    <w:nsid w:val="7F5249A6"/>
    <w:multiLevelType w:val="singleLevel"/>
    <w:tmpl w:val="0424000F"/>
    <w:lvl w:ilvl="0">
      <w:start w:val="1"/>
      <w:numFmt w:val="decimal"/>
      <w:lvlText w:val="%1."/>
      <w:lvlJc w:val="left"/>
      <w:pPr>
        <w:tabs>
          <w:tab w:val="num" w:pos="360"/>
        </w:tabs>
        <w:ind w:left="360" w:hanging="360"/>
      </w:pPr>
      <w:rPr>
        <w:rFonts w:hint="default"/>
      </w:rPr>
    </w:lvl>
  </w:abstractNum>
  <w:num w:numId="1">
    <w:abstractNumId w:val="40"/>
  </w:num>
  <w:num w:numId="2">
    <w:abstractNumId w:val="10"/>
  </w:num>
  <w:num w:numId="3">
    <w:abstractNumId w:val="26"/>
  </w:num>
  <w:num w:numId="4">
    <w:abstractNumId w:val="23"/>
  </w:num>
  <w:num w:numId="5">
    <w:abstractNumId w:val="24"/>
  </w:num>
  <w:num w:numId="6">
    <w:abstractNumId w:val="14"/>
  </w:num>
  <w:num w:numId="7">
    <w:abstractNumId w:val="16"/>
  </w:num>
  <w:num w:numId="8">
    <w:abstractNumId w:val="15"/>
  </w:num>
  <w:num w:numId="9">
    <w:abstractNumId w:val="6"/>
  </w:num>
  <w:num w:numId="10">
    <w:abstractNumId w:val="32"/>
  </w:num>
  <w:num w:numId="11">
    <w:abstractNumId w:val="12"/>
  </w:num>
  <w:num w:numId="12">
    <w:abstractNumId w:val="9"/>
  </w:num>
  <w:num w:numId="13">
    <w:abstractNumId w:val="33"/>
  </w:num>
  <w:num w:numId="14">
    <w:abstractNumId w:val="13"/>
  </w:num>
  <w:num w:numId="15">
    <w:abstractNumId w:val="27"/>
  </w:num>
  <w:num w:numId="16">
    <w:abstractNumId w:val="39"/>
  </w:num>
  <w:num w:numId="17">
    <w:abstractNumId w:val="36"/>
  </w:num>
  <w:num w:numId="18">
    <w:abstractNumId w:val="35"/>
  </w:num>
  <w:num w:numId="19">
    <w:abstractNumId w:val="37"/>
  </w:num>
  <w:num w:numId="20">
    <w:abstractNumId w:val="1"/>
  </w:num>
  <w:num w:numId="21">
    <w:abstractNumId w:val="38"/>
  </w:num>
  <w:num w:numId="22">
    <w:abstractNumId w:val="4"/>
  </w:num>
  <w:num w:numId="23">
    <w:abstractNumId w:val="11"/>
  </w:num>
  <w:num w:numId="24">
    <w:abstractNumId w:val="5"/>
  </w:num>
  <w:num w:numId="25">
    <w:abstractNumId w:val="7"/>
  </w:num>
  <w:num w:numId="26">
    <w:abstractNumId w:val="3"/>
  </w:num>
  <w:num w:numId="27">
    <w:abstractNumId w:val="31"/>
  </w:num>
  <w:num w:numId="28">
    <w:abstractNumId w:val="20"/>
  </w:num>
  <w:num w:numId="29">
    <w:abstractNumId w:val="17"/>
  </w:num>
  <w:num w:numId="30">
    <w:abstractNumId w:val="30"/>
  </w:num>
  <w:num w:numId="31">
    <w:abstractNumId w:val="2"/>
  </w:num>
  <w:num w:numId="32">
    <w:abstractNumId w:val="34"/>
  </w:num>
  <w:num w:numId="33">
    <w:abstractNumId w:val="22"/>
  </w:num>
  <w:num w:numId="34">
    <w:abstractNumId w:val="29"/>
  </w:num>
  <w:num w:numId="35">
    <w:abstractNumId w:val="25"/>
  </w:num>
  <w:num w:numId="36">
    <w:abstractNumId w:val="21"/>
  </w:num>
  <w:num w:numId="37">
    <w:abstractNumId w:val="8"/>
  </w:num>
  <w:num w:numId="38">
    <w:abstractNumId w:val="18"/>
  </w:num>
  <w:num w:numId="39">
    <w:abstractNumId w:val="0"/>
  </w:num>
  <w:num w:numId="40">
    <w:abstractNumId w:val="28"/>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DE"/>
    <w:rsid w:val="00014BAA"/>
    <w:rsid w:val="0003293B"/>
    <w:rsid w:val="00036144"/>
    <w:rsid w:val="00046B40"/>
    <w:rsid w:val="00053C25"/>
    <w:rsid w:val="0006093C"/>
    <w:rsid w:val="000625CC"/>
    <w:rsid w:val="00067866"/>
    <w:rsid w:val="000761B7"/>
    <w:rsid w:val="0009073D"/>
    <w:rsid w:val="0009636B"/>
    <w:rsid w:val="000A19DD"/>
    <w:rsid w:val="000B0A40"/>
    <w:rsid w:val="000B587A"/>
    <w:rsid w:val="000B67E3"/>
    <w:rsid w:val="000B6A23"/>
    <w:rsid w:val="000E1D83"/>
    <w:rsid w:val="000E7D4E"/>
    <w:rsid w:val="000F03D7"/>
    <w:rsid w:val="000F1B74"/>
    <w:rsid w:val="000F40D2"/>
    <w:rsid w:val="000F6746"/>
    <w:rsid w:val="00103E49"/>
    <w:rsid w:val="0010411B"/>
    <w:rsid w:val="001101ED"/>
    <w:rsid w:val="001213B9"/>
    <w:rsid w:val="00131BC5"/>
    <w:rsid w:val="00135DE0"/>
    <w:rsid w:val="001577DF"/>
    <w:rsid w:val="00160EFE"/>
    <w:rsid w:val="0016104C"/>
    <w:rsid w:val="001642C0"/>
    <w:rsid w:val="001710DF"/>
    <w:rsid w:val="001762E9"/>
    <w:rsid w:val="0018344C"/>
    <w:rsid w:val="001848D1"/>
    <w:rsid w:val="0018780C"/>
    <w:rsid w:val="00196F28"/>
    <w:rsid w:val="001B40D3"/>
    <w:rsid w:val="001B4E07"/>
    <w:rsid w:val="001C55C4"/>
    <w:rsid w:val="001C65D2"/>
    <w:rsid w:val="001E2942"/>
    <w:rsid w:val="001E46A5"/>
    <w:rsid w:val="001E5BFE"/>
    <w:rsid w:val="001F39D3"/>
    <w:rsid w:val="001F3E26"/>
    <w:rsid w:val="00205467"/>
    <w:rsid w:val="0021144D"/>
    <w:rsid w:val="00216CD3"/>
    <w:rsid w:val="00217CEC"/>
    <w:rsid w:val="0022024F"/>
    <w:rsid w:val="002235E2"/>
    <w:rsid w:val="00223EAB"/>
    <w:rsid w:val="00250591"/>
    <w:rsid w:val="00252DF2"/>
    <w:rsid w:val="002548DB"/>
    <w:rsid w:val="00273DDF"/>
    <w:rsid w:val="00276596"/>
    <w:rsid w:val="0027778B"/>
    <w:rsid w:val="002805E7"/>
    <w:rsid w:val="0028075A"/>
    <w:rsid w:val="00292898"/>
    <w:rsid w:val="002B19A5"/>
    <w:rsid w:val="002B452B"/>
    <w:rsid w:val="002B668D"/>
    <w:rsid w:val="002C44F3"/>
    <w:rsid w:val="002C7000"/>
    <w:rsid w:val="002C7D0D"/>
    <w:rsid w:val="002F418C"/>
    <w:rsid w:val="002F465F"/>
    <w:rsid w:val="003037B1"/>
    <w:rsid w:val="00306BA1"/>
    <w:rsid w:val="00313323"/>
    <w:rsid w:val="003168D8"/>
    <w:rsid w:val="00317A91"/>
    <w:rsid w:val="00324BE4"/>
    <w:rsid w:val="0033062E"/>
    <w:rsid w:val="00332EA1"/>
    <w:rsid w:val="00341880"/>
    <w:rsid w:val="00344834"/>
    <w:rsid w:val="003463F9"/>
    <w:rsid w:val="00352DC7"/>
    <w:rsid w:val="00355781"/>
    <w:rsid w:val="00360075"/>
    <w:rsid w:val="00360354"/>
    <w:rsid w:val="0036175E"/>
    <w:rsid w:val="00377D01"/>
    <w:rsid w:val="003874C0"/>
    <w:rsid w:val="003950F5"/>
    <w:rsid w:val="003A25BA"/>
    <w:rsid w:val="003B7EBC"/>
    <w:rsid w:val="003C3F1B"/>
    <w:rsid w:val="003C437B"/>
    <w:rsid w:val="003C5A56"/>
    <w:rsid w:val="003C61AC"/>
    <w:rsid w:val="003D6370"/>
    <w:rsid w:val="003F0EA3"/>
    <w:rsid w:val="003F667E"/>
    <w:rsid w:val="0040317F"/>
    <w:rsid w:val="0040670E"/>
    <w:rsid w:val="004203B7"/>
    <w:rsid w:val="00425A8B"/>
    <w:rsid w:val="00435696"/>
    <w:rsid w:val="00451CC8"/>
    <w:rsid w:val="00462C0A"/>
    <w:rsid w:val="00467C3E"/>
    <w:rsid w:val="00467D47"/>
    <w:rsid w:val="0048408C"/>
    <w:rsid w:val="0049183D"/>
    <w:rsid w:val="004A073E"/>
    <w:rsid w:val="004A30A0"/>
    <w:rsid w:val="004A33B9"/>
    <w:rsid w:val="004A4DF3"/>
    <w:rsid w:val="004A69AF"/>
    <w:rsid w:val="004A7105"/>
    <w:rsid w:val="004B180D"/>
    <w:rsid w:val="004B3297"/>
    <w:rsid w:val="004B41A0"/>
    <w:rsid w:val="004B54C6"/>
    <w:rsid w:val="004B7170"/>
    <w:rsid w:val="004C1D5D"/>
    <w:rsid w:val="004C28F8"/>
    <w:rsid w:val="004C66E8"/>
    <w:rsid w:val="004D11DE"/>
    <w:rsid w:val="004F5050"/>
    <w:rsid w:val="004F5B62"/>
    <w:rsid w:val="00500DB6"/>
    <w:rsid w:val="005029C6"/>
    <w:rsid w:val="00514311"/>
    <w:rsid w:val="00525A19"/>
    <w:rsid w:val="00525BD5"/>
    <w:rsid w:val="00525C1D"/>
    <w:rsid w:val="00554989"/>
    <w:rsid w:val="00563340"/>
    <w:rsid w:val="005701F4"/>
    <w:rsid w:val="0057190E"/>
    <w:rsid w:val="005745BC"/>
    <w:rsid w:val="00581E1B"/>
    <w:rsid w:val="00587381"/>
    <w:rsid w:val="005A013D"/>
    <w:rsid w:val="005A11E4"/>
    <w:rsid w:val="005A5638"/>
    <w:rsid w:val="005A7A79"/>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45458"/>
    <w:rsid w:val="0067410C"/>
    <w:rsid w:val="00683B5F"/>
    <w:rsid w:val="00685B29"/>
    <w:rsid w:val="006863A2"/>
    <w:rsid w:val="0068792F"/>
    <w:rsid w:val="0069578E"/>
    <w:rsid w:val="00697296"/>
    <w:rsid w:val="006A20F0"/>
    <w:rsid w:val="006A772B"/>
    <w:rsid w:val="006B4BA9"/>
    <w:rsid w:val="006B5AC7"/>
    <w:rsid w:val="006C734C"/>
    <w:rsid w:val="006E1095"/>
    <w:rsid w:val="006E6646"/>
    <w:rsid w:val="006E732F"/>
    <w:rsid w:val="006F2D77"/>
    <w:rsid w:val="00701B0E"/>
    <w:rsid w:val="00703ADE"/>
    <w:rsid w:val="00707193"/>
    <w:rsid w:val="00714E30"/>
    <w:rsid w:val="0072193C"/>
    <w:rsid w:val="007264DD"/>
    <w:rsid w:val="00743D06"/>
    <w:rsid w:val="0074545B"/>
    <w:rsid w:val="00754FB9"/>
    <w:rsid w:val="0076751A"/>
    <w:rsid w:val="007747BF"/>
    <w:rsid w:val="00784B83"/>
    <w:rsid w:val="0078644D"/>
    <w:rsid w:val="00792301"/>
    <w:rsid w:val="0079494D"/>
    <w:rsid w:val="007A28AA"/>
    <w:rsid w:val="007A29FA"/>
    <w:rsid w:val="007A77A3"/>
    <w:rsid w:val="007B0935"/>
    <w:rsid w:val="007C7DAA"/>
    <w:rsid w:val="007D632F"/>
    <w:rsid w:val="007D7287"/>
    <w:rsid w:val="007E49AE"/>
    <w:rsid w:val="007E5F58"/>
    <w:rsid w:val="007F2C61"/>
    <w:rsid w:val="007F4454"/>
    <w:rsid w:val="00802619"/>
    <w:rsid w:val="008102C2"/>
    <w:rsid w:val="00811EFC"/>
    <w:rsid w:val="00811FB5"/>
    <w:rsid w:val="008157D7"/>
    <w:rsid w:val="008320B1"/>
    <w:rsid w:val="00847982"/>
    <w:rsid w:val="00855585"/>
    <w:rsid w:val="00863826"/>
    <w:rsid w:val="00873A16"/>
    <w:rsid w:val="00873F0D"/>
    <w:rsid w:val="00874CA5"/>
    <w:rsid w:val="008A0A06"/>
    <w:rsid w:val="008A6780"/>
    <w:rsid w:val="008A7904"/>
    <w:rsid w:val="008B2370"/>
    <w:rsid w:val="008C5AC5"/>
    <w:rsid w:val="008C735D"/>
    <w:rsid w:val="008C7A40"/>
    <w:rsid w:val="008F145E"/>
    <w:rsid w:val="009044E0"/>
    <w:rsid w:val="009060E2"/>
    <w:rsid w:val="00910644"/>
    <w:rsid w:val="00913A49"/>
    <w:rsid w:val="0091460B"/>
    <w:rsid w:val="009222E8"/>
    <w:rsid w:val="00923630"/>
    <w:rsid w:val="009322AD"/>
    <w:rsid w:val="00957F7A"/>
    <w:rsid w:val="00961B35"/>
    <w:rsid w:val="00961C9A"/>
    <w:rsid w:val="0096279B"/>
    <w:rsid w:val="00965B5C"/>
    <w:rsid w:val="009739C6"/>
    <w:rsid w:val="00991CF4"/>
    <w:rsid w:val="009958CA"/>
    <w:rsid w:val="009A486C"/>
    <w:rsid w:val="009B077A"/>
    <w:rsid w:val="009B26AB"/>
    <w:rsid w:val="009C276B"/>
    <w:rsid w:val="009D11AD"/>
    <w:rsid w:val="009D6D7A"/>
    <w:rsid w:val="009E7CBD"/>
    <w:rsid w:val="009F24ED"/>
    <w:rsid w:val="009F37EA"/>
    <w:rsid w:val="009F4070"/>
    <w:rsid w:val="00A000D4"/>
    <w:rsid w:val="00A019CC"/>
    <w:rsid w:val="00A0202D"/>
    <w:rsid w:val="00A029C5"/>
    <w:rsid w:val="00A06479"/>
    <w:rsid w:val="00A13321"/>
    <w:rsid w:val="00A25CCF"/>
    <w:rsid w:val="00A340FC"/>
    <w:rsid w:val="00A36B18"/>
    <w:rsid w:val="00A47212"/>
    <w:rsid w:val="00A52D9A"/>
    <w:rsid w:val="00A5557A"/>
    <w:rsid w:val="00A56956"/>
    <w:rsid w:val="00A604B1"/>
    <w:rsid w:val="00A719BA"/>
    <w:rsid w:val="00A722F0"/>
    <w:rsid w:val="00A81452"/>
    <w:rsid w:val="00A87467"/>
    <w:rsid w:val="00A87ADF"/>
    <w:rsid w:val="00A87CC4"/>
    <w:rsid w:val="00AA3383"/>
    <w:rsid w:val="00AC243A"/>
    <w:rsid w:val="00AC50D7"/>
    <w:rsid w:val="00AC7DE5"/>
    <w:rsid w:val="00AE647A"/>
    <w:rsid w:val="00AF382F"/>
    <w:rsid w:val="00B01725"/>
    <w:rsid w:val="00B05658"/>
    <w:rsid w:val="00B07275"/>
    <w:rsid w:val="00B07A68"/>
    <w:rsid w:val="00B1469E"/>
    <w:rsid w:val="00B32886"/>
    <w:rsid w:val="00B413D7"/>
    <w:rsid w:val="00B41FC2"/>
    <w:rsid w:val="00B44133"/>
    <w:rsid w:val="00B63E7C"/>
    <w:rsid w:val="00B67455"/>
    <w:rsid w:val="00B70B70"/>
    <w:rsid w:val="00B733D9"/>
    <w:rsid w:val="00B8093A"/>
    <w:rsid w:val="00BC1823"/>
    <w:rsid w:val="00BC3476"/>
    <w:rsid w:val="00BC4876"/>
    <w:rsid w:val="00BC74F8"/>
    <w:rsid w:val="00BC7DC9"/>
    <w:rsid w:val="00BD50BF"/>
    <w:rsid w:val="00BE08A0"/>
    <w:rsid w:val="00BE32A6"/>
    <w:rsid w:val="00BF5A0E"/>
    <w:rsid w:val="00BF7B2D"/>
    <w:rsid w:val="00C06952"/>
    <w:rsid w:val="00C16CC3"/>
    <w:rsid w:val="00C23384"/>
    <w:rsid w:val="00C26205"/>
    <w:rsid w:val="00C31227"/>
    <w:rsid w:val="00C35629"/>
    <w:rsid w:val="00C4086F"/>
    <w:rsid w:val="00C54704"/>
    <w:rsid w:val="00C63A16"/>
    <w:rsid w:val="00C65B60"/>
    <w:rsid w:val="00C72B00"/>
    <w:rsid w:val="00C73CAE"/>
    <w:rsid w:val="00C83735"/>
    <w:rsid w:val="00C92969"/>
    <w:rsid w:val="00CB4FA1"/>
    <w:rsid w:val="00CB7916"/>
    <w:rsid w:val="00CC2E15"/>
    <w:rsid w:val="00CC7B6E"/>
    <w:rsid w:val="00CC7D6E"/>
    <w:rsid w:val="00CD3B38"/>
    <w:rsid w:val="00CD40B9"/>
    <w:rsid w:val="00CE0FA9"/>
    <w:rsid w:val="00CE20E4"/>
    <w:rsid w:val="00CE4CA3"/>
    <w:rsid w:val="00D023A0"/>
    <w:rsid w:val="00D03A4A"/>
    <w:rsid w:val="00D07034"/>
    <w:rsid w:val="00D1099E"/>
    <w:rsid w:val="00D12BC2"/>
    <w:rsid w:val="00D176A8"/>
    <w:rsid w:val="00D17CFB"/>
    <w:rsid w:val="00D216BD"/>
    <w:rsid w:val="00D36EFF"/>
    <w:rsid w:val="00D4141E"/>
    <w:rsid w:val="00D56DEF"/>
    <w:rsid w:val="00D634CF"/>
    <w:rsid w:val="00D656E4"/>
    <w:rsid w:val="00D822FB"/>
    <w:rsid w:val="00D84B00"/>
    <w:rsid w:val="00D94920"/>
    <w:rsid w:val="00DC294C"/>
    <w:rsid w:val="00DD03F7"/>
    <w:rsid w:val="00DF0B31"/>
    <w:rsid w:val="00E03C39"/>
    <w:rsid w:val="00E12B7D"/>
    <w:rsid w:val="00E24F2B"/>
    <w:rsid w:val="00E26379"/>
    <w:rsid w:val="00E32D7E"/>
    <w:rsid w:val="00E3517F"/>
    <w:rsid w:val="00E61420"/>
    <w:rsid w:val="00E61E60"/>
    <w:rsid w:val="00E638E3"/>
    <w:rsid w:val="00E6704B"/>
    <w:rsid w:val="00E70FEA"/>
    <w:rsid w:val="00E76AEB"/>
    <w:rsid w:val="00E84030"/>
    <w:rsid w:val="00E8487A"/>
    <w:rsid w:val="00E856E6"/>
    <w:rsid w:val="00E919CA"/>
    <w:rsid w:val="00E935CE"/>
    <w:rsid w:val="00EB6B47"/>
    <w:rsid w:val="00EB7E3F"/>
    <w:rsid w:val="00EC0DAE"/>
    <w:rsid w:val="00EC4757"/>
    <w:rsid w:val="00EC5F38"/>
    <w:rsid w:val="00ED74DD"/>
    <w:rsid w:val="00EF335F"/>
    <w:rsid w:val="00EF375E"/>
    <w:rsid w:val="00F02874"/>
    <w:rsid w:val="00F12416"/>
    <w:rsid w:val="00F128BD"/>
    <w:rsid w:val="00F20BFD"/>
    <w:rsid w:val="00F22DA8"/>
    <w:rsid w:val="00F23473"/>
    <w:rsid w:val="00F23940"/>
    <w:rsid w:val="00F36598"/>
    <w:rsid w:val="00F4075A"/>
    <w:rsid w:val="00F42EE7"/>
    <w:rsid w:val="00F44BC1"/>
    <w:rsid w:val="00F51390"/>
    <w:rsid w:val="00F57C69"/>
    <w:rsid w:val="00F734B4"/>
    <w:rsid w:val="00F734DA"/>
    <w:rsid w:val="00F74CD5"/>
    <w:rsid w:val="00FA00CC"/>
    <w:rsid w:val="00FA10EF"/>
    <w:rsid w:val="00FA2FAA"/>
    <w:rsid w:val="00FA7685"/>
    <w:rsid w:val="00FA7E0F"/>
    <w:rsid w:val="00FB7865"/>
    <w:rsid w:val="00FC4F71"/>
    <w:rsid w:val="00FD4503"/>
    <w:rsid w:val="00FD7078"/>
    <w:rsid w:val="00FE166B"/>
    <w:rsid w:val="00FE4F6B"/>
    <w:rsid w:val="00FE50A1"/>
    <w:rsid w:val="00FE5CDE"/>
    <w:rsid w:val="00FF5A25"/>
    <w:rsid w:val="02377878"/>
    <w:rsid w:val="0B44B878"/>
    <w:rsid w:val="1101E3E9"/>
    <w:rsid w:val="251E39B8"/>
    <w:rsid w:val="26EAB1CF"/>
    <w:rsid w:val="300F2F98"/>
    <w:rsid w:val="37837B56"/>
    <w:rsid w:val="38886B2C"/>
    <w:rsid w:val="4132D4C6"/>
    <w:rsid w:val="416E259B"/>
    <w:rsid w:val="46F191B2"/>
    <w:rsid w:val="55448387"/>
    <w:rsid w:val="78AAF722"/>
    <w:rsid w:val="7B621969"/>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747BF"/>
    <w:pPr>
      <w:spacing w:after="0" w:line="240" w:lineRule="auto"/>
    </w:pPr>
    <w:rPr>
      <w:rFonts w:ascii="Times New Roman" w:eastAsia="Times New Roman" w:hAnsi="Times New Roman" w:cs="Times New Roman"/>
      <w:sz w:val="24"/>
      <w:szCs w:val="24"/>
      <w:lang w:val="en-SI"/>
    </w:rPr>
  </w:style>
  <w:style w:type="paragraph" w:styleId="Naslov1">
    <w:name w:val="heading 1"/>
    <w:basedOn w:val="Navaden"/>
    <w:next w:val="Navaden"/>
    <w:link w:val="Naslov1Znak"/>
    <w:uiPriority w:val="99"/>
    <w:qFormat/>
    <w:rsid w:val="00E638E3"/>
    <w:pPr>
      <w:keepNext/>
      <w:keepLines/>
      <w:spacing w:before="240"/>
      <w:outlineLvl w:val="0"/>
    </w:pPr>
    <w:rPr>
      <w:rFonts w:asciiTheme="majorHAnsi" w:eastAsiaTheme="majorEastAsia" w:hAnsiTheme="majorHAnsi" w:cstheme="majorBidi"/>
      <w:color w:val="2E74B5" w:themeColor="accent1" w:themeShade="BF"/>
      <w:sz w:val="32"/>
      <w:szCs w:val="32"/>
      <w:lang w:val="sl-SI"/>
    </w:rPr>
  </w:style>
  <w:style w:type="paragraph" w:styleId="Naslov2">
    <w:name w:val="heading 2"/>
    <w:basedOn w:val="Navaden"/>
    <w:next w:val="Navaden"/>
    <w:link w:val="Naslov2Znak"/>
    <w:autoRedefine/>
    <w:uiPriority w:val="99"/>
    <w:qFormat/>
    <w:rsid w:val="00E638E3"/>
    <w:pPr>
      <w:keepNext/>
      <w:spacing w:before="240" w:after="60" w:line="360" w:lineRule="auto"/>
      <w:ind w:left="720" w:hanging="360"/>
      <w:jc w:val="both"/>
      <w:outlineLvl w:val="1"/>
    </w:pPr>
    <w:rPr>
      <w:rFonts w:cs="Arial"/>
      <w:b/>
      <w:bCs/>
      <w:iCs/>
      <w:lang w:val="sl-SI" w:eastAsia="sl-SI"/>
    </w:rPr>
  </w:style>
  <w:style w:type="paragraph" w:styleId="Naslov3">
    <w:name w:val="heading 3"/>
    <w:basedOn w:val="Navaden"/>
    <w:next w:val="Navaden"/>
    <w:link w:val="Naslov3Znak"/>
    <w:uiPriority w:val="99"/>
    <w:qFormat/>
    <w:rsid w:val="00E638E3"/>
    <w:pPr>
      <w:keepNext/>
      <w:numPr>
        <w:ilvl w:val="2"/>
        <w:numId w:val="25"/>
      </w:numPr>
      <w:spacing w:before="240" w:after="60"/>
      <w:jc w:val="both"/>
      <w:outlineLvl w:val="2"/>
    </w:pPr>
    <w:rPr>
      <w:rFonts w:ascii="Arial" w:hAnsi="Arial" w:cs="Arial"/>
      <w:b/>
      <w:bCs/>
      <w:sz w:val="26"/>
      <w:szCs w:val="26"/>
      <w:lang w:val="sl-SI" w:eastAsia="sl-SI"/>
    </w:rPr>
  </w:style>
  <w:style w:type="paragraph" w:styleId="Naslov4">
    <w:name w:val="heading 4"/>
    <w:basedOn w:val="Navaden"/>
    <w:next w:val="Navaden"/>
    <w:link w:val="Naslov4Znak"/>
    <w:uiPriority w:val="99"/>
    <w:qFormat/>
    <w:rsid w:val="00E638E3"/>
    <w:pPr>
      <w:keepNext/>
      <w:numPr>
        <w:ilvl w:val="3"/>
        <w:numId w:val="25"/>
      </w:numPr>
      <w:spacing w:before="240" w:after="60"/>
      <w:jc w:val="both"/>
      <w:outlineLvl w:val="3"/>
    </w:pPr>
    <w:rPr>
      <w:rFonts w:cs="Arial"/>
      <w:b/>
      <w:bCs/>
      <w:sz w:val="28"/>
      <w:szCs w:val="28"/>
      <w:lang w:val="sl-SI" w:eastAsia="sl-SI"/>
    </w:rPr>
  </w:style>
  <w:style w:type="paragraph" w:styleId="Naslov5">
    <w:name w:val="heading 5"/>
    <w:basedOn w:val="Navaden"/>
    <w:next w:val="Navaden"/>
    <w:link w:val="Naslov5Znak"/>
    <w:uiPriority w:val="99"/>
    <w:qFormat/>
    <w:rsid w:val="00E638E3"/>
    <w:pPr>
      <w:numPr>
        <w:ilvl w:val="4"/>
        <w:numId w:val="25"/>
      </w:numPr>
      <w:spacing w:before="240" w:after="60"/>
      <w:jc w:val="both"/>
      <w:outlineLvl w:val="4"/>
    </w:pPr>
    <w:rPr>
      <w:rFonts w:ascii="Arial" w:hAnsi="Arial" w:cs="Arial"/>
      <w:b/>
      <w:bCs/>
      <w:i/>
      <w:iCs/>
      <w:sz w:val="26"/>
      <w:szCs w:val="26"/>
      <w:lang w:val="sl-SI" w:eastAsia="sl-SI"/>
    </w:rPr>
  </w:style>
  <w:style w:type="paragraph" w:styleId="Naslov6">
    <w:name w:val="heading 6"/>
    <w:basedOn w:val="Navaden"/>
    <w:next w:val="Navaden"/>
    <w:link w:val="Naslov6Znak"/>
    <w:uiPriority w:val="99"/>
    <w:qFormat/>
    <w:rsid w:val="00E638E3"/>
    <w:pPr>
      <w:numPr>
        <w:ilvl w:val="5"/>
        <w:numId w:val="25"/>
      </w:numPr>
      <w:spacing w:before="240" w:after="60"/>
      <w:jc w:val="both"/>
      <w:outlineLvl w:val="5"/>
    </w:pPr>
    <w:rPr>
      <w:rFonts w:cs="Arial"/>
      <w:b/>
      <w:bCs/>
      <w:sz w:val="20"/>
      <w:szCs w:val="20"/>
      <w:lang w:val="sl-SI" w:eastAsia="sl-SI"/>
    </w:rPr>
  </w:style>
  <w:style w:type="paragraph" w:styleId="Naslov7">
    <w:name w:val="heading 7"/>
    <w:basedOn w:val="Navaden"/>
    <w:next w:val="Navaden"/>
    <w:link w:val="Naslov7Znak"/>
    <w:uiPriority w:val="99"/>
    <w:qFormat/>
    <w:rsid w:val="00E638E3"/>
    <w:pPr>
      <w:numPr>
        <w:ilvl w:val="6"/>
        <w:numId w:val="25"/>
      </w:numPr>
      <w:spacing w:before="240" w:after="60"/>
      <w:jc w:val="both"/>
      <w:outlineLvl w:val="6"/>
    </w:pPr>
    <w:rPr>
      <w:rFonts w:cs="Arial"/>
      <w:b/>
      <w:lang w:val="sl-SI" w:eastAsia="sl-SI"/>
    </w:rPr>
  </w:style>
  <w:style w:type="paragraph" w:styleId="Naslov8">
    <w:name w:val="heading 8"/>
    <w:basedOn w:val="Navaden"/>
    <w:next w:val="Navaden"/>
    <w:link w:val="Naslov8Znak"/>
    <w:uiPriority w:val="99"/>
    <w:qFormat/>
    <w:rsid w:val="00E638E3"/>
    <w:pPr>
      <w:numPr>
        <w:ilvl w:val="7"/>
        <w:numId w:val="25"/>
      </w:numPr>
      <w:spacing w:before="240" w:after="60"/>
      <w:jc w:val="both"/>
      <w:outlineLvl w:val="7"/>
    </w:pPr>
    <w:rPr>
      <w:rFonts w:cs="Arial"/>
      <w:b/>
      <w:i/>
      <w:iCs/>
      <w:lang w:val="sl-SI" w:eastAsia="sl-SI"/>
    </w:rPr>
  </w:style>
  <w:style w:type="paragraph" w:styleId="Naslov9">
    <w:name w:val="heading 9"/>
    <w:basedOn w:val="Navaden"/>
    <w:next w:val="Navaden"/>
    <w:link w:val="Naslov9Znak"/>
    <w:uiPriority w:val="99"/>
    <w:qFormat/>
    <w:rsid w:val="00E638E3"/>
    <w:pPr>
      <w:numPr>
        <w:ilvl w:val="8"/>
        <w:numId w:val="25"/>
      </w:numPr>
      <w:spacing w:before="240" w:after="60"/>
      <w:jc w:val="both"/>
      <w:outlineLvl w:val="8"/>
    </w:pPr>
    <w:rPr>
      <w:rFonts w:ascii="Arial" w:hAnsi="Arial" w:cs="Arial"/>
      <w:b/>
      <w:sz w:val="2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ind w:left="720"/>
      <w:contextualSpacing/>
    </w:pPr>
    <w:rPr>
      <w:rFonts w:ascii="Calibri" w:hAnsi="Calibri"/>
      <w:sz w:val="22"/>
      <w:szCs w:val="22"/>
      <w:lang w:val="sl-SI"/>
    </w:rPr>
  </w:style>
  <w:style w:type="paragraph" w:styleId="Glava">
    <w:name w:val="header"/>
    <w:basedOn w:val="Navaden"/>
    <w:link w:val="GlavaZnak"/>
    <w:uiPriority w:val="99"/>
    <w:unhideWhenUsed/>
    <w:rsid w:val="00703ADE"/>
    <w:pPr>
      <w:tabs>
        <w:tab w:val="center" w:pos="4536"/>
        <w:tab w:val="right" w:pos="9072"/>
      </w:tabs>
    </w:pPr>
    <w:rPr>
      <w:rFonts w:ascii="Calibri" w:hAnsi="Calibri"/>
      <w:sz w:val="22"/>
      <w:szCs w:val="22"/>
      <w:lang w:val="sl-SI"/>
    </w:r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pPr>
    <w:rPr>
      <w:rFonts w:ascii="Calibri" w:hAnsi="Calibri"/>
      <w:sz w:val="22"/>
      <w:szCs w:val="22"/>
      <w:lang w:val="sl-SI"/>
    </w:r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val="sl-SI" w:eastAsia="sl-SI"/>
    </w:rPr>
  </w:style>
  <w:style w:type="paragraph" w:styleId="Telobesedila">
    <w:name w:val="Body Text"/>
    <w:basedOn w:val="Navaden"/>
    <w:link w:val="TelobesedilaZnak"/>
    <w:rsid w:val="00703ADE"/>
    <w:pPr>
      <w:jc w:val="both"/>
    </w:pPr>
    <w:rPr>
      <w:szCs w:val="20"/>
      <w:lang w:val="sl-SI"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pPr>
      <w:spacing w:after="120"/>
    </w:pPr>
    <w:rPr>
      <w:rFonts w:ascii="Calibri" w:hAnsi="Calibri"/>
      <w:sz w:val="20"/>
      <w:szCs w:val="20"/>
      <w:lang w:val="sl-SI"/>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spacing w:after="120"/>
      <w:jc w:val="both"/>
    </w:pPr>
    <w:rPr>
      <w:rFonts w:asciiTheme="minorHAnsi" w:eastAsiaTheme="minorHAnsi" w:hAnsiTheme="minorHAnsi" w:cstheme="minorBidi"/>
      <w:b/>
      <w:sz w:val="22"/>
      <w:szCs w:val="22"/>
      <w:lang w:val="sl-SI"/>
    </w:rPr>
  </w:style>
  <w:style w:type="paragraph" w:customStyle="1" w:styleId="Pripomba-Naslov">
    <w:name w:val="Pripomba-Naslov"/>
    <w:basedOn w:val="Navaden"/>
    <w:next w:val="Pripomba"/>
    <w:uiPriority w:val="1"/>
    <w:qFormat/>
    <w:rsid w:val="00F57C69"/>
    <w:pPr>
      <w:keepNext/>
      <w:tabs>
        <w:tab w:val="left" w:pos="425"/>
      </w:tabs>
      <w:spacing w:before="360" w:after="120"/>
      <w:jc w:val="both"/>
    </w:pPr>
    <w:rPr>
      <w:rFonts w:asciiTheme="minorHAnsi" w:eastAsiaTheme="minorHAnsi" w:hAnsiTheme="minorHAnsi" w:cstheme="minorBidi"/>
      <w:b/>
      <w:sz w:val="22"/>
      <w:szCs w:val="22"/>
      <w:u w:val="single"/>
      <w:lang w:val="sl-SI"/>
    </w:rPr>
  </w:style>
  <w:style w:type="paragraph" w:customStyle="1" w:styleId="Default">
    <w:name w:val="Default"/>
    <w:uiPriority w:val="99"/>
    <w:qFormat/>
    <w:rsid w:val="00B1469E"/>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qFormat/>
    <w:rsid w:val="008C5AC5"/>
    <w:pPr>
      <w:spacing w:before="100" w:beforeAutospacing="1" w:after="100" w:afterAutospacing="1"/>
    </w:pPr>
    <w:rPr>
      <w:lang w:val="en-US" w:bidi="ne-NP"/>
    </w:rPr>
  </w:style>
  <w:style w:type="character" w:customStyle="1" w:styleId="InternetLink">
    <w:name w:val="Internet Link"/>
    <w:rsid w:val="008C5AC5"/>
    <w:rPr>
      <w:color w:val="000080"/>
      <w:u w:val="single"/>
    </w:rPr>
  </w:style>
  <w:style w:type="character" w:customStyle="1" w:styleId="Naslov3Znak">
    <w:name w:val="Naslov 3 Znak"/>
    <w:basedOn w:val="Privzetapisavaodstavka"/>
    <w:link w:val="Naslov3"/>
    <w:uiPriority w:val="99"/>
    <w:rsid w:val="00E638E3"/>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E638E3"/>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E638E3"/>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E638E3"/>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E638E3"/>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E638E3"/>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E638E3"/>
    <w:rPr>
      <w:rFonts w:ascii="Arial" w:eastAsia="Times New Roman" w:hAnsi="Arial" w:cs="Arial"/>
      <w:b/>
      <w:sz w:val="20"/>
      <w:szCs w:val="20"/>
      <w:lang w:eastAsia="sl-SI"/>
    </w:rPr>
  </w:style>
  <w:style w:type="paragraph" w:customStyle="1" w:styleId="Slog1">
    <w:name w:val="Slog 1"/>
    <w:basedOn w:val="Navaden"/>
    <w:uiPriority w:val="99"/>
    <w:rsid w:val="00E638E3"/>
    <w:pPr>
      <w:numPr>
        <w:numId w:val="27"/>
      </w:numPr>
      <w:jc w:val="both"/>
    </w:pPr>
    <w:rPr>
      <w:rFonts w:ascii="Century Gothic" w:hAnsi="Century Gothic" w:cs="Arial"/>
      <w:b/>
      <w:caps/>
      <w:sz w:val="28"/>
      <w:szCs w:val="20"/>
      <w:lang w:val="sl-SI"/>
    </w:rPr>
  </w:style>
  <w:style w:type="character" w:customStyle="1" w:styleId="Naslov1Znak">
    <w:name w:val="Naslov 1 Znak"/>
    <w:basedOn w:val="Privzetapisavaodstavka"/>
    <w:link w:val="Naslov1"/>
    <w:uiPriority w:val="99"/>
    <w:rsid w:val="00E638E3"/>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9"/>
    <w:rsid w:val="00E638E3"/>
    <w:rPr>
      <w:rFonts w:ascii="Times New Roman" w:eastAsia="Times New Roman" w:hAnsi="Times New Roman" w:cs="Arial"/>
      <w:b/>
      <w:bCs/>
      <w:iCs/>
      <w:sz w:val="24"/>
      <w:szCs w:val="24"/>
      <w:lang w:eastAsia="sl-SI"/>
    </w:rPr>
  </w:style>
  <w:style w:type="paragraph" w:customStyle="1" w:styleId="paragraph">
    <w:name w:val="paragraph"/>
    <w:basedOn w:val="Navaden"/>
    <w:rsid w:val="000F03D7"/>
    <w:pPr>
      <w:spacing w:before="100" w:beforeAutospacing="1" w:after="100" w:afterAutospacing="1"/>
    </w:pPr>
  </w:style>
  <w:style w:type="character" w:customStyle="1" w:styleId="normaltextrun">
    <w:name w:val="normaltextrun"/>
    <w:basedOn w:val="Privzetapisavaodstavka"/>
    <w:rsid w:val="000F03D7"/>
  </w:style>
  <w:style w:type="character" w:customStyle="1" w:styleId="eop">
    <w:name w:val="eop"/>
    <w:basedOn w:val="Privzetapisavaodstavka"/>
    <w:rsid w:val="000F03D7"/>
  </w:style>
  <w:style w:type="character" w:styleId="Hiperpovezava">
    <w:name w:val="Hyperlink"/>
    <w:basedOn w:val="Privzetapisavaodstavka"/>
    <w:uiPriority w:val="99"/>
    <w:semiHidden/>
    <w:unhideWhenUsed/>
    <w:rsid w:val="007747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5091">
      <w:bodyDiv w:val="1"/>
      <w:marLeft w:val="0"/>
      <w:marRight w:val="0"/>
      <w:marTop w:val="0"/>
      <w:marBottom w:val="0"/>
      <w:divBdr>
        <w:top w:val="none" w:sz="0" w:space="0" w:color="auto"/>
        <w:left w:val="none" w:sz="0" w:space="0" w:color="auto"/>
        <w:bottom w:val="none" w:sz="0" w:space="0" w:color="auto"/>
        <w:right w:val="none" w:sz="0" w:space="0" w:color="auto"/>
      </w:divBdr>
    </w:div>
    <w:div w:id="564070568">
      <w:bodyDiv w:val="1"/>
      <w:marLeft w:val="0"/>
      <w:marRight w:val="0"/>
      <w:marTop w:val="0"/>
      <w:marBottom w:val="0"/>
      <w:divBdr>
        <w:top w:val="none" w:sz="0" w:space="0" w:color="auto"/>
        <w:left w:val="none" w:sz="0" w:space="0" w:color="auto"/>
        <w:bottom w:val="none" w:sz="0" w:space="0" w:color="auto"/>
        <w:right w:val="none" w:sz="0" w:space="0" w:color="auto"/>
      </w:divBdr>
    </w:div>
    <w:div w:id="1053966322">
      <w:bodyDiv w:val="1"/>
      <w:marLeft w:val="0"/>
      <w:marRight w:val="0"/>
      <w:marTop w:val="0"/>
      <w:marBottom w:val="0"/>
      <w:divBdr>
        <w:top w:val="none" w:sz="0" w:space="0" w:color="auto"/>
        <w:left w:val="none" w:sz="0" w:space="0" w:color="auto"/>
        <w:bottom w:val="none" w:sz="0" w:space="0" w:color="auto"/>
        <w:right w:val="none" w:sz="0" w:space="0" w:color="auto"/>
      </w:divBdr>
    </w:div>
    <w:div w:id="146712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dpi.com/2071-1050/14/12/7290" TargetMode="External"/><Relationship Id="rId18" Type="http://schemas.openxmlformats.org/officeDocument/2006/relationships/hyperlink" Target="http://cobiss.izum.si/scripts/cobiss?command=DISPLAY&amp;base=COBIB&amp;RID=1024084572" TargetMode="External"/><Relationship Id="rId26" Type="http://schemas.openxmlformats.org/officeDocument/2006/relationships/hyperlink" Target="http://cobiss.izum.si/scripts/cobiss?command=DISPLAY&amp;base=COBIB&amp;RID=512566077" TargetMode="External"/><Relationship Id="rId3" Type="http://schemas.openxmlformats.org/officeDocument/2006/relationships/customXml" Target="../customXml/item3.xml"/><Relationship Id="rId21" Type="http://schemas.openxmlformats.org/officeDocument/2006/relationships/hyperlink" Target="http://cobiss.izum.si/scripts/cobiss?command=DISPLAY&amp;base=COBIB&amp;RID=512434237" TargetMode="External"/><Relationship Id="rId7" Type="http://schemas.openxmlformats.org/officeDocument/2006/relationships/webSettings" Target="webSettings.xml"/><Relationship Id="rId12" Type="http://schemas.openxmlformats.org/officeDocument/2006/relationships/hyperlink" Target="https://plus.si.cobiss.net/opac7/bib/105118467?lang=sl" TargetMode="External"/><Relationship Id="rId17" Type="http://schemas.openxmlformats.org/officeDocument/2006/relationships/hyperlink" Target="http://cobiss.izum.si/scripts/cobiss?command=DISPLAY&amp;base=COBIB&amp;RID=1024091228" TargetMode="External"/><Relationship Id="rId25" Type="http://schemas.openxmlformats.org/officeDocument/2006/relationships/hyperlink" Target="http://dx.doi.org/10.1016/j.trd.2014.05.007" TargetMode="External"/><Relationship Id="rId2" Type="http://schemas.openxmlformats.org/officeDocument/2006/relationships/customXml" Target="../customXml/item2.xml"/><Relationship Id="rId16" Type="http://schemas.openxmlformats.org/officeDocument/2006/relationships/hyperlink" Target="http://www.fe.uni-mb.si/images/stories/jet/e-jet/jet_5-2.pdf" TargetMode="External"/><Relationship Id="rId20" Type="http://schemas.openxmlformats.org/officeDocument/2006/relationships/hyperlink" Target="http://cobiss.izum.si/scripts/cobiss?command=DISPLAY&amp;base=COBIB&amp;RID=512283197" TargetMode="External"/><Relationship Id="rId29" Type="http://schemas.openxmlformats.org/officeDocument/2006/relationships/hyperlink" Target="http://cobiss.izum.si/scripts/cobiss?command=DISPLAY&amp;base=COBIB&amp;RID=51260985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x.doi.org/10.3390/su14084551" TargetMode="External"/><Relationship Id="rId24" Type="http://schemas.openxmlformats.org/officeDocument/2006/relationships/hyperlink" Target="http://www.sciencedirect.com/science/article/pii/S1361920914000339"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cobiss.izum.si/scripts/cobiss?command=DISPLAY&amp;base=COBIB&amp;RID=10305052" TargetMode="External"/><Relationship Id="rId23" Type="http://schemas.openxmlformats.org/officeDocument/2006/relationships/hyperlink" Target="http://cobiss.izum.si/scripts/cobiss?command=DISPLAY&amp;base=COBIB&amp;RID=512556349" TargetMode="External"/><Relationship Id="rId28" Type="http://schemas.openxmlformats.org/officeDocument/2006/relationships/hyperlink" Target="http://dx.doi.org/10.1016/j.trd.2014.11.015" TargetMode="External"/><Relationship Id="rId10" Type="http://schemas.openxmlformats.org/officeDocument/2006/relationships/hyperlink" Target="https://doi.org/10.3390/su14084551" TargetMode="External"/><Relationship Id="rId19" Type="http://schemas.openxmlformats.org/officeDocument/2006/relationships/hyperlink" Target="http://transportproblems.polsl.pl/pl/Archiwum/2010/zeszyt4/2010t5z4_12.pdf"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x.doi.org/10.3390/su14127290" TargetMode="External"/><Relationship Id="rId22" Type="http://schemas.openxmlformats.org/officeDocument/2006/relationships/hyperlink" Target="http://dx.doi.org/10.1016/j.scs.2013.11.010" TargetMode="External"/><Relationship Id="rId27" Type="http://schemas.openxmlformats.org/officeDocument/2006/relationships/hyperlink" Target="http://www.sciencedirect.com/science/article/pii/S1361920914001783" TargetMode="External"/><Relationship Id="rId30"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326C11C7F1F90409D5AFE7D234A0E4F" ma:contentTypeVersion="4" ma:contentTypeDescription="Ustvari nov dokument." ma:contentTypeScope="" ma:versionID="21d289060c218f8442021586ddff69bf">
  <xsd:schema xmlns:xsd="http://www.w3.org/2001/XMLSchema" xmlns:xs="http://www.w3.org/2001/XMLSchema" xmlns:p="http://schemas.microsoft.com/office/2006/metadata/properties" xmlns:ns2="55d4f91d-b3e9-4367-b6f9-19b8703d9522" xmlns:ns3="7c5b22ed-3eb1-4a58-b0cc-e3aabff4672e" targetNamespace="http://schemas.microsoft.com/office/2006/metadata/properties" ma:root="true" ma:fieldsID="1f20f0abddeea6451b74f97eff5de2d3" ns2:_="" ns3:_="">
    <xsd:import namespace="55d4f91d-b3e9-4367-b6f9-19b8703d9522"/>
    <xsd:import namespace="7c5b22ed-3eb1-4a58-b0cc-e3aabff46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f91d-b3e9-4367-b6f9-19b8703d9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5b22ed-3eb1-4a58-b0cc-e3aabff4672e"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D4751-A5CD-49F1-BAB3-641D3AD3C7D8}">
  <ds:schemaRefs>
    <ds:schemaRef ds:uri="http://schemas.microsoft.com/sharepoint/v3/contenttype/forms"/>
  </ds:schemaRefs>
</ds:datastoreItem>
</file>

<file path=customXml/itemProps2.xml><?xml version="1.0" encoding="utf-8"?>
<ds:datastoreItem xmlns:ds="http://schemas.openxmlformats.org/officeDocument/2006/customXml" ds:itemID="{1AEC5F06-D045-491D-9D87-F173BCFF52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CC113F-9FB7-4D61-AFA2-56EEEB67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f91d-b3e9-4367-b6f9-19b8703d9522"/>
    <ds:schemaRef ds:uri="7c5b22ed-3eb1-4a58-b0cc-e3aabff46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1730</Words>
  <Characters>13440</Characters>
  <Application>Microsoft Office Word</Application>
  <DocSecurity>0</DocSecurity>
  <Lines>112</Lines>
  <Paragraphs>30</Paragraphs>
  <ScaleCrop>false</ScaleCrop>
  <Company/>
  <LinksUpToDate>false</LinksUpToDate>
  <CharactersWithSpaces>15140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7</cp:revision>
  <cp:lastPrinted>2019-01-30T13:00:00Z</cp:lastPrinted>
  <dcterms:created xsi:type="dcterms:W3CDTF">2024-09-06T06:28:00Z</dcterms:created>
  <dcterms:modified xsi:type="dcterms:W3CDTF">2024-12-19T08:58:00Z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0x0101000326C11C7F1F90409D5AFE7D234A0E4F</vt:lpwstr>
  </property>
  <property fmtid="{D5CDD505-2E9C-101B-9397-08002B2CF9AE}" pid="3" name="GrammarlyDocumentId">
    <vt:lpwstr>c15336d303f85091df37c27a76d2f7acc61e3dcc0610e6bd31c090e71cfac9d6</vt:lpwstr>
  </property>
</Properties>
</file>