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6"/>
        <w:gridCol w:w="9"/>
        <w:gridCol w:w="143"/>
        <w:gridCol w:w="704"/>
        <w:gridCol w:w="76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32EFBE4A" w14:textId="77777777" w:rsidTr="00147A0E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16ACCB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B63298" w:rsidRPr="0049183D" w14:paraId="299D6A9C" w14:textId="77777777" w:rsidTr="00147A0E">
        <w:tc>
          <w:tcPr>
            <w:tcW w:w="1797" w:type="dxa"/>
            <w:gridSpan w:val="2"/>
          </w:tcPr>
          <w:p w14:paraId="3263EEDB" w14:textId="77777777" w:rsidR="00B63298" w:rsidRPr="00157001" w:rsidRDefault="00B63298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7001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675" w14:textId="77777777" w:rsidR="00B63298" w:rsidRPr="00147A0E" w:rsidRDefault="00682C60" w:rsidP="00682C60">
            <w:pPr>
              <w:spacing w:after="0"/>
              <w:rPr>
                <w:rFonts w:eastAsia="Calibri" w:cs="Arial"/>
                <w:lang w:eastAsia="sl-SI"/>
              </w:rPr>
            </w:pPr>
            <w:r w:rsidRPr="00147A0E">
              <w:rPr>
                <w:rFonts w:asciiTheme="minorHAnsi" w:hAnsiTheme="minorHAnsi"/>
                <w:color w:val="000000"/>
                <w:lang w:val="sv-SE"/>
              </w:rPr>
              <w:t>VZPOSTAVITEV TRAJNOSTNIH KONCEPTOV DELOVANJA LOGISTIČNEGA PODJETJA</w:t>
            </w:r>
          </w:p>
        </w:tc>
      </w:tr>
      <w:tr w:rsidR="00B63298" w:rsidRPr="0049183D" w14:paraId="65E3C919" w14:textId="77777777" w:rsidTr="00147A0E">
        <w:tc>
          <w:tcPr>
            <w:tcW w:w="1797" w:type="dxa"/>
            <w:gridSpan w:val="2"/>
          </w:tcPr>
          <w:p w14:paraId="170FAFED" w14:textId="77777777" w:rsidR="00B63298" w:rsidRPr="00157001" w:rsidRDefault="00B63298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7001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4FD" w14:textId="77777777" w:rsidR="00B63298" w:rsidRPr="00147A0E" w:rsidRDefault="00CF6012" w:rsidP="00CF6012">
            <w:pPr>
              <w:spacing w:after="0"/>
              <w:rPr>
                <w:rFonts w:eastAsia="Calibri" w:cs="Arial"/>
                <w:lang w:eastAsia="sl-SI"/>
              </w:rPr>
            </w:pPr>
            <w:r w:rsidRPr="00147A0E">
              <w:rPr>
                <w:rFonts w:eastAsia="Calibri" w:cs="Arial"/>
                <w:lang w:eastAsia="sl-SI"/>
              </w:rPr>
              <w:t>CREATING SUSTAINABLE BUSINESS CONCEPTS IN LOGISTIC COMPANIES</w:t>
            </w:r>
          </w:p>
        </w:tc>
      </w:tr>
      <w:tr w:rsidR="005A11E4" w:rsidRPr="0049183D" w14:paraId="01E3FFF7" w14:textId="77777777" w:rsidTr="00147A0E">
        <w:tc>
          <w:tcPr>
            <w:tcW w:w="3305" w:type="dxa"/>
            <w:gridSpan w:val="5"/>
            <w:vAlign w:val="center"/>
          </w:tcPr>
          <w:p w14:paraId="6EA6A017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095894A9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4BC614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3FAA6F6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033498E7" w14:textId="77777777" w:rsidTr="00147A0E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F5CFB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6DFED024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3E671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562C7682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B43EE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4AF9A7C0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5439F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6D20178E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5C46562A" w14:textId="77777777" w:rsidTr="00147A0E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8234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5C8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5FAC" w14:textId="77777777" w:rsidR="00667ED1" w:rsidRPr="0049183D" w:rsidRDefault="00682C60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3768" w14:textId="62111B46" w:rsidR="00667ED1" w:rsidRPr="0049183D" w:rsidRDefault="00147A0E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22DE14E6" w14:textId="77777777" w:rsidTr="00147A0E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ABE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BA90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159" w14:textId="77777777" w:rsidR="00667ED1" w:rsidRPr="0049183D" w:rsidRDefault="00682C60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7C5" w14:textId="2FD30B7D" w:rsidR="00667ED1" w:rsidRPr="0049183D" w:rsidRDefault="00147A0E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3DF36939" w14:textId="77777777" w:rsidTr="00147A0E">
        <w:trPr>
          <w:trHeight w:val="103"/>
        </w:trPr>
        <w:tc>
          <w:tcPr>
            <w:tcW w:w="9690" w:type="dxa"/>
            <w:gridSpan w:val="19"/>
          </w:tcPr>
          <w:p w14:paraId="3CD47759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1357A207" w14:textId="77777777" w:rsidTr="00147A0E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188C05" w14:textId="77777777" w:rsidR="005A11E4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4EC06D43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E30" w14:textId="77777777" w:rsidR="005A11E4" w:rsidRPr="0049183D" w:rsidRDefault="00682C60" w:rsidP="008A6EEC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0F62FC05" w14:textId="77777777" w:rsidTr="00147A0E">
        <w:trPr>
          <w:trHeight w:val="270"/>
        </w:trPr>
        <w:tc>
          <w:tcPr>
            <w:tcW w:w="571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EFB12C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B87" w14:textId="77777777" w:rsidR="005A11E4" w:rsidRPr="001848D1" w:rsidRDefault="00682C60" w:rsidP="008A6EEC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SELECTIVE</w:t>
            </w:r>
          </w:p>
        </w:tc>
      </w:tr>
      <w:tr w:rsidR="005A11E4" w:rsidRPr="0049183D" w14:paraId="6F1DF9B9" w14:textId="77777777" w:rsidTr="00147A0E">
        <w:tc>
          <w:tcPr>
            <w:tcW w:w="5716" w:type="dxa"/>
            <w:gridSpan w:val="13"/>
          </w:tcPr>
          <w:p w14:paraId="636AF45A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D04CD" w14:textId="77777777" w:rsidR="005A11E4" w:rsidRPr="0049183D" w:rsidRDefault="005A11E4" w:rsidP="008A6EEC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4092F8EA" w14:textId="77777777" w:rsidTr="00147A0E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21275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435" w14:textId="77777777" w:rsidR="005A11E4" w:rsidRPr="0049183D" w:rsidRDefault="00667ED1" w:rsidP="008A6EEC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4EDAF15" w14:textId="77777777" w:rsidTr="00147A0E">
        <w:tc>
          <w:tcPr>
            <w:tcW w:w="9690" w:type="dxa"/>
            <w:gridSpan w:val="19"/>
          </w:tcPr>
          <w:p w14:paraId="616403AB" w14:textId="77777777" w:rsidR="005A11E4" w:rsidRPr="0049183D" w:rsidRDefault="005A11E4" w:rsidP="008A6EEC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0F6D3D60" w14:textId="77777777" w:rsidTr="00147A0E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28B0D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087D4413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931EB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1DECD3DF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8E123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B31CE5D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686AC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3B2959DD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943E9" w14:textId="77777777" w:rsidR="005A11E4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2D5F0635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DDA73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4323449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550CAB6F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9B623" w14:textId="77777777" w:rsidR="005A11E4" w:rsidRPr="0049183D" w:rsidRDefault="005A11E4" w:rsidP="008A6EE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157001" w:rsidRPr="00157001" w14:paraId="4FCC4AA7" w14:textId="77777777" w:rsidTr="00147A0E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84B7D" w14:textId="77777777" w:rsidR="00667ED1" w:rsidRPr="007A1ED6" w:rsidRDefault="007A1ED6" w:rsidP="008A6E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1ED6">
              <w:rPr>
                <w:rFonts w:asciiTheme="minorHAnsi" w:hAnsiTheme="minorHAnsi" w:cstheme="minorHAnsi"/>
                <w:bCs/>
              </w:rPr>
              <w:t>19</w:t>
            </w:r>
            <w:r w:rsidR="00667ED1" w:rsidRPr="007A1ED6">
              <w:rPr>
                <w:rFonts w:asciiTheme="minorHAnsi" w:hAnsiTheme="minorHAnsi" w:cstheme="minorHAnsi"/>
                <w:bCs/>
              </w:rPr>
              <w:t xml:space="preserve"> e-P</w:t>
            </w:r>
          </w:p>
          <w:p w14:paraId="40D4DC6B" w14:textId="77777777" w:rsidR="00667ED1" w:rsidRPr="007A1ED6" w:rsidRDefault="00D37D33" w:rsidP="007A1ED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A1ED6">
              <w:rPr>
                <w:rFonts w:asciiTheme="minorHAnsi" w:hAnsiTheme="minorHAnsi" w:cstheme="minorHAnsi"/>
                <w:bCs/>
              </w:rPr>
              <w:t>2</w:t>
            </w:r>
            <w:r w:rsidR="007A1ED6" w:rsidRPr="007A1ED6">
              <w:rPr>
                <w:rFonts w:asciiTheme="minorHAnsi" w:hAnsiTheme="minorHAnsi" w:cstheme="minorHAnsi"/>
                <w:bCs/>
              </w:rPr>
              <w:t>1</w:t>
            </w:r>
            <w:r w:rsidR="00667ED1" w:rsidRPr="007A1ED6">
              <w:rPr>
                <w:rFonts w:asciiTheme="minorHAnsi" w:hAnsiTheme="minorHAnsi" w:cstheme="minorHAnsi"/>
                <w:bCs/>
              </w:rPr>
              <w:t xml:space="preserve"> a-P</w:t>
            </w:r>
            <w:r w:rsidR="00667ED1" w:rsidRPr="007A1ED6">
              <w:rPr>
                <w:rFonts w:eastAsia="Calibri" w:cs="Calibri"/>
                <w:b/>
                <w:bCs/>
                <w:lang w:eastAsia="sl-SI"/>
              </w:rPr>
              <w:t xml:space="preserve"> 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8BED3" w14:textId="77777777" w:rsidR="00667ED1" w:rsidRPr="007A1ED6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8934" w14:textId="77777777" w:rsidR="00667ED1" w:rsidRPr="007A1ED6" w:rsidRDefault="00334FD5" w:rsidP="008A6EEC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A1ED6">
              <w:rPr>
                <w:rFonts w:eastAsia="Calibri" w:cs="Calibri"/>
                <w:bCs/>
                <w:lang w:eastAsia="sl-SI"/>
              </w:rPr>
              <w:t>19</w:t>
            </w:r>
            <w:r w:rsidR="00667ED1" w:rsidRPr="007A1ED6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386586F4" w14:textId="77777777" w:rsidR="00667ED1" w:rsidRPr="007A1ED6" w:rsidRDefault="00334FD5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A1ED6">
              <w:rPr>
                <w:rFonts w:eastAsia="Calibri" w:cs="Calibri"/>
                <w:bCs/>
                <w:lang w:eastAsia="sl-SI"/>
              </w:rPr>
              <w:t>21</w:t>
            </w:r>
            <w:r w:rsidR="00667ED1" w:rsidRPr="007A1ED6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0A3F" w14:textId="77777777" w:rsidR="00667ED1" w:rsidRPr="007A1ED6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0D0EE" w14:textId="77777777" w:rsidR="00667ED1" w:rsidRPr="007A1ED6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BFD3A" w14:textId="77777777" w:rsidR="00667ED1" w:rsidRPr="00157001" w:rsidRDefault="00CF6012" w:rsidP="00CF6012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57001">
              <w:rPr>
                <w:rFonts w:eastAsia="Calibri" w:cs="Calibri"/>
                <w:bCs/>
                <w:lang w:eastAsia="sl-SI"/>
              </w:rPr>
              <w:t xml:space="preserve"> 100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E477A" w14:textId="77777777" w:rsidR="00667ED1" w:rsidRPr="00157001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8F002" w14:textId="77777777" w:rsidR="00667ED1" w:rsidRPr="00157001" w:rsidRDefault="00CF6012" w:rsidP="008A6EEC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57001">
              <w:rPr>
                <w:rFonts w:eastAsia="Calibri" w:cs="Calibri"/>
                <w:bCs/>
                <w:lang w:eastAsia="sl-SI"/>
              </w:rPr>
              <w:t xml:space="preserve"> 6</w:t>
            </w:r>
          </w:p>
        </w:tc>
      </w:tr>
      <w:tr w:rsidR="00157001" w:rsidRPr="00157001" w14:paraId="16EB3233" w14:textId="77777777" w:rsidTr="00147A0E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BEE8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0CD1B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96458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4E27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DAE6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9441" w14:textId="77777777" w:rsidR="00667ED1" w:rsidRPr="00157001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F4E43" w14:textId="77777777" w:rsidR="00667ED1" w:rsidRPr="00157001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5994" w14:textId="77777777" w:rsidR="00667ED1" w:rsidRPr="00157001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67ED1" w:rsidRPr="0049183D" w14:paraId="4E9A56CC" w14:textId="77777777" w:rsidTr="00147A0E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12E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375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CFDC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B64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788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BD5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0B288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88A" w14:textId="77777777" w:rsidR="00667ED1" w:rsidRPr="0049183D" w:rsidRDefault="00667ED1" w:rsidP="008A6EEC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3D1D511E" w14:textId="77777777" w:rsidTr="00147A0E">
        <w:tc>
          <w:tcPr>
            <w:tcW w:w="9690" w:type="dxa"/>
            <w:gridSpan w:val="19"/>
          </w:tcPr>
          <w:p w14:paraId="1200A096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A96A9F5" w14:textId="77777777" w:rsidTr="00147A0E">
        <w:tc>
          <w:tcPr>
            <w:tcW w:w="3305" w:type="dxa"/>
            <w:gridSpan w:val="5"/>
          </w:tcPr>
          <w:p w14:paraId="28BDAF56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C01" w14:textId="77777777" w:rsidR="005A11E4" w:rsidRPr="0049183D" w:rsidRDefault="00682C60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 xml:space="preserve">MATJAŽ KNEZ, </w:t>
            </w:r>
            <w:r w:rsidR="00B63298">
              <w:rPr>
                <w:rFonts w:eastAsia="Calibri" w:cs="Calibri"/>
                <w:b/>
                <w:lang w:eastAsia="sl-SI"/>
              </w:rPr>
              <w:t>MATEVŽ OBRECHT</w:t>
            </w:r>
          </w:p>
        </w:tc>
      </w:tr>
      <w:tr w:rsidR="005A11E4" w:rsidRPr="0049183D" w14:paraId="4E163DAB" w14:textId="77777777" w:rsidTr="00147A0E">
        <w:tc>
          <w:tcPr>
            <w:tcW w:w="9690" w:type="dxa"/>
            <w:gridSpan w:val="19"/>
          </w:tcPr>
          <w:p w14:paraId="610313AA" w14:textId="77777777" w:rsidR="005A11E4" w:rsidRPr="0049183D" w:rsidRDefault="005A11E4" w:rsidP="008A6EE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67ED1" w:rsidRPr="0049183D" w14:paraId="597032CF" w14:textId="77777777" w:rsidTr="00147A0E">
        <w:tc>
          <w:tcPr>
            <w:tcW w:w="2296" w:type="dxa"/>
            <w:gridSpan w:val="3"/>
            <w:vMerge w:val="restart"/>
          </w:tcPr>
          <w:p w14:paraId="4648ABF4" w14:textId="77777777" w:rsidR="00667ED1" w:rsidRPr="0049183D" w:rsidRDefault="00667ED1" w:rsidP="008A6EEC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6CF97984" w14:textId="77777777" w:rsidR="00667ED1" w:rsidRPr="0049183D" w:rsidRDefault="00667ED1" w:rsidP="008A6EEC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0E7" w14:textId="77777777" w:rsidR="00667ED1" w:rsidRPr="0049183D" w:rsidRDefault="00667ED1" w:rsidP="008A6EEC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C4131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667ED1" w:rsidRPr="0049183D" w14:paraId="1F295BBB" w14:textId="77777777" w:rsidTr="00147A0E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405A27AF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5DB14169" w14:textId="77777777" w:rsidR="00667ED1" w:rsidRPr="0049183D" w:rsidRDefault="00667ED1" w:rsidP="008A6EEC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501" w14:textId="77777777" w:rsidR="00667ED1" w:rsidRPr="0049183D" w:rsidRDefault="00667ED1" w:rsidP="008A6EEC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 w:cstheme="minorHAnsi"/>
              </w:rPr>
              <w:t>SLOVENSKI</w:t>
            </w:r>
            <w:r w:rsidRPr="008C4131">
              <w:rPr>
                <w:rFonts w:asciiTheme="minorHAnsi" w:hAnsiTheme="minorHAnsi" w:cstheme="minorHAnsi"/>
              </w:rPr>
              <w:t>/SLOVENE</w:t>
            </w:r>
          </w:p>
        </w:tc>
      </w:tr>
      <w:tr w:rsidR="005A11E4" w:rsidRPr="0049183D" w14:paraId="58365179" w14:textId="77777777" w:rsidTr="00147A0E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0CBDC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9896FDD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58957349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87496FA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0DE65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6F09FFD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64596A17" w14:textId="77777777" w:rsidTr="00147A0E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160" w14:textId="77777777" w:rsidR="00B63298" w:rsidRPr="0049183D" w:rsidRDefault="00B63298" w:rsidP="008A6EEC">
            <w:pPr>
              <w:spacing w:after="0"/>
              <w:rPr>
                <w:rFonts w:eastAsia="Calibri"/>
                <w:lang w:eastAsia="sl-SI"/>
              </w:rPr>
            </w:pPr>
            <w:r w:rsidRPr="00886330">
              <w:rPr>
                <w:rFonts w:asciiTheme="minorHAnsi" w:hAnsiTheme="minorHAnsi"/>
                <w:lang w:val="pl-PL"/>
              </w:rPr>
              <w:t xml:space="preserve">Ni pogojev za sodelovanje pri tem predmetu.  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0015C" w14:textId="77777777" w:rsidR="00B63298" w:rsidRPr="0049183D" w:rsidRDefault="00B63298" w:rsidP="008A6EEC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D30" w14:textId="77777777" w:rsidR="00B63298" w:rsidRPr="004A3EBC" w:rsidRDefault="00B63298" w:rsidP="008A6EEC">
            <w:pPr>
              <w:spacing w:after="0"/>
              <w:rPr>
                <w:rFonts w:eastAsia="Calibri"/>
                <w:lang w:eastAsia="sl-SI"/>
              </w:rPr>
            </w:pPr>
            <w:r w:rsidRPr="004A3EBC">
              <w:rPr>
                <w:rFonts w:asciiTheme="minorHAnsi" w:hAnsiTheme="minorHAnsi"/>
                <w:lang w:val="en-US"/>
              </w:rPr>
              <w:t xml:space="preserve">There are no prerequisites for this course. </w:t>
            </w:r>
          </w:p>
        </w:tc>
      </w:tr>
      <w:tr w:rsidR="00B63298" w:rsidRPr="0049183D" w14:paraId="2F4C9C39" w14:textId="77777777" w:rsidTr="00147A0E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7E246" w14:textId="77777777" w:rsidR="00B63298" w:rsidRPr="0049183D" w:rsidRDefault="00B63298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1C0832D" w14:textId="77777777" w:rsidR="00B63298" w:rsidRPr="0049183D" w:rsidRDefault="00B63298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117536D5" w14:textId="77777777" w:rsidR="00B63298" w:rsidRPr="0049183D" w:rsidRDefault="00B63298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548EB" w14:textId="77777777" w:rsidR="00B63298" w:rsidRPr="0049183D" w:rsidRDefault="00B63298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38B3A69" w14:textId="77777777" w:rsidR="00B63298" w:rsidRPr="0049183D" w:rsidRDefault="00B63298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B63298" w:rsidRPr="008B76CA" w14:paraId="42EE8EED" w14:textId="77777777" w:rsidTr="00147A0E">
        <w:trPr>
          <w:trHeight w:val="1119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486" w14:textId="41A5226C" w:rsidR="00682C60" w:rsidRPr="007A1ED6" w:rsidRDefault="00682C60" w:rsidP="00147A0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7A1ED6">
              <w:rPr>
                <w:rFonts w:asciiTheme="minorHAnsi" w:hAnsiTheme="minorHAnsi"/>
              </w:rPr>
              <w:t xml:space="preserve">Trajnostni poslovni modeli na primeru logističnih podjetij </w:t>
            </w:r>
            <w:r w:rsidR="007A1ED6" w:rsidRPr="007A1ED6">
              <w:rPr>
                <w:rFonts w:asciiTheme="minorHAnsi" w:hAnsiTheme="minorHAnsi"/>
              </w:rPr>
              <w:t>(</w:t>
            </w:r>
            <w:r w:rsidRPr="007A1ED6">
              <w:rPr>
                <w:rFonts w:asciiTheme="minorHAnsi" w:hAnsiTheme="minorHAnsi"/>
              </w:rPr>
              <w:t>Specifike razvoja start-upov v logistiki</w:t>
            </w:r>
            <w:r w:rsidR="007A1ED6" w:rsidRPr="007A1ED6">
              <w:rPr>
                <w:rFonts w:asciiTheme="minorHAnsi" w:hAnsiTheme="minorHAnsi"/>
              </w:rPr>
              <w:t xml:space="preserve">, </w:t>
            </w:r>
            <w:r w:rsidRPr="007A1ED6">
              <w:rPr>
                <w:rFonts w:asciiTheme="minorHAnsi" w:hAnsiTheme="minorHAnsi"/>
                <w:lang w:val="en-GB"/>
              </w:rPr>
              <w:t>Primeri inovativnih poslovnih modelov</w:t>
            </w:r>
            <w:r w:rsidR="007A1ED6">
              <w:rPr>
                <w:rFonts w:asciiTheme="minorHAnsi" w:hAnsiTheme="minorHAnsi"/>
                <w:lang w:val="en-GB"/>
              </w:rPr>
              <w:t>)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30DE8CE6" w14:textId="026379E2" w:rsidR="00682C60" w:rsidRPr="007A1ED6" w:rsidRDefault="00147A0E" w:rsidP="00147A0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</w:rPr>
              <w:t>M</w:t>
            </w:r>
            <w:r w:rsidR="00682C60" w:rsidRPr="007A1ED6">
              <w:rPr>
                <w:rFonts w:asciiTheme="minorHAnsi" w:hAnsiTheme="minorHAnsi"/>
              </w:rPr>
              <w:t xml:space="preserve">anagement </w:t>
            </w:r>
            <w:r w:rsidR="007A1ED6" w:rsidRPr="007A1ED6">
              <w:rPr>
                <w:rFonts w:asciiTheme="minorHAnsi" w:hAnsiTheme="minorHAnsi"/>
              </w:rPr>
              <w:t>sprememb (</w:t>
            </w:r>
            <w:r w:rsidR="00682C60" w:rsidRPr="007A1ED6">
              <w:rPr>
                <w:rFonts w:asciiTheme="minorHAnsi" w:hAnsiTheme="minorHAnsi"/>
              </w:rPr>
              <w:t>vpeljava strateških sprememb v logističnih podjetjih</w:t>
            </w:r>
            <w:r w:rsidR="007A1ED6" w:rsidRPr="007A1ED6">
              <w:rPr>
                <w:rFonts w:asciiTheme="minorHAnsi" w:hAnsiTheme="minorHAnsi"/>
              </w:rPr>
              <w:t xml:space="preserve">, </w:t>
            </w:r>
            <w:r w:rsidR="00682C60" w:rsidRPr="007A1ED6">
              <w:rPr>
                <w:rFonts w:asciiTheme="minorHAnsi" w:hAnsiTheme="minorHAnsi"/>
              </w:rPr>
              <w:t>Upravljanje s spremembami pri vpeljavi zelenih tehnologij</w:t>
            </w:r>
            <w:r w:rsidR="007A1ED6" w:rsidRPr="007A1ED6">
              <w:rPr>
                <w:rFonts w:asciiTheme="minorHAnsi" w:hAnsiTheme="minorHAnsi"/>
              </w:rPr>
              <w:t xml:space="preserve">, </w:t>
            </w:r>
            <w:r w:rsidR="00682C60" w:rsidRPr="007A1ED6">
              <w:rPr>
                <w:rFonts w:asciiTheme="minorHAnsi" w:hAnsiTheme="minorHAnsi"/>
              </w:rPr>
              <w:t>Identificiranje novih poslovnih priložnosti na področju trajnostne logistike</w:t>
            </w:r>
            <w:r w:rsidR="007A1ED6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.</w:t>
            </w:r>
          </w:p>
          <w:p w14:paraId="64D033B0" w14:textId="3D477B6A" w:rsidR="00682C60" w:rsidRPr="00682C60" w:rsidRDefault="00682C60" w:rsidP="00147A0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682C60">
              <w:rPr>
                <w:rFonts w:asciiTheme="minorHAnsi" w:hAnsiTheme="minorHAnsi"/>
                <w:lang w:val="en-GB"/>
              </w:rPr>
              <w:t>CANVAS poslovni model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225BC281" w14:textId="4E353BD9" w:rsidR="00682C60" w:rsidRPr="007A1ED6" w:rsidRDefault="00682C60" w:rsidP="00147A0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7A1ED6">
              <w:rPr>
                <w:rFonts w:asciiTheme="minorHAnsi" w:hAnsiTheme="minorHAnsi"/>
                <w:lang w:val="en-GB"/>
              </w:rPr>
              <w:t>Okoljski standardi in koncepti</w:t>
            </w:r>
            <w:r w:rsidR="007A1ED6" w:rsidRPr="007A1ED6">
              <w:rPr>
                <w:rFonts w:asciiTheme="minorHAnsi" w:hAnsiTheme="minorHAnsi"/>
                <w:lang w:val="en-GB"/>
              </w:rPr>
              <w:t xml:space="preserve"> (ISO, Green SCOR, integraci</w:t>
            </w:r>
            <w:r w:rsidR="007A1ED6">
              <w:rPr>
                <w:rFonts w:asciiTheme="minorHAnsi" w:hAnsiTheme="minorHAnsi"/>
                <w:lang w:val="en-GB"/>
              </w:rPr>
              <w:t>ja digitalizacije, trajnosti in poslovnih izboljšav skozi celotne</w:t>
            </w:r>
            <w:r w:rsidRPr="007A1ED6">
              <w:rPr>
                <w:rFonts w:asciiTheme="minorHAnsi" w:hAnsiTheme="minorHAnsi"/>
                <w:lang w:val="en-GB"/>
              </w:rPr>
              <w:t xml:space="preserve"> OV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354180FE" w14:textId="3B3E3A07" w:rsidR="008A6EEC" w:rsidRPr="00682C60" w:rsidRDefault="00682C60" w:rsidP="00147A0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7A1ED6">
              <w:rPr>
                <w:rFonts w:asciiTheme="minorHAnsi" w:hAnsiTheme="minorHAnsi"/>
                <w:lang w:val="en-GB"/>
              </w:rPr>
              <w:t>Trajnostna potrošnja in proizvodnja</w:t>
            </w:r>
            <w:r w:rsidR="007A1ED6" w:rsidRPr="007A1ED6">
              <w:rPr>
                <w:rFonts w:asciiTheme="minorHAnsi" w:hAnsiTheme="minorHAnsi"/>
                <w:lang w:val="en-GB"/>
              </w:rPr>
              <w:t xml:space="preserve"> (</w:t>
            </w:r>
            <w:r w:rsidRPr="007A1ED6">
              <w:rPr>
                <w:rFonts w:asciiTheme="minorHAnsi" w:hAnsiTheme="minorHAnsi"/>
                <w:lang w:val="en-GB"/>
              </w:rPr>
              <w:t>Strateško kolo ekodizajna</w:t>
            </w:r>
            <w:r w:rsidR="007A1ED6">
              <w:rPr>
                <w:rFonts w:asciiTheme="minorHAnsi" w:hAnsiTheme="minorHAnsi"/>
                <w:lang w:val="en-GB"/>
              </w:rPr>
              <w:t xml:space="preserve">, </w:t>
            </w:r>
            <w:r w:rsidRPr="00682C60">
              <w:rPr>
                <w:rFonts w:asciiTheme="minorHAnsi" w:hAnsiTheme="minorHAnsi"/>
                <w:lang w:val="en-GB"/>
              </w:rPr>
              <w:t>Priprava koncepta, strategij in aktivnosti ekodizajna za vpeljavo v logistično podjetje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79B" w14:textId="77777777" w:rsidR="00B63298" w:rsidRPr="008B76CA" w:rsidRDefault="00B63298" w:rsidP="00147A0E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AC27" w14:textId="5D44E786" w:rsidR="007A1ED6" w:rsidRDefault="003D48E5" w:rsidP="00147A0E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7A1ED6">
              <w:rPr>
                <w:rFonts w:asciiTheme="minorHAnsi" w:hAnsiTheme="minorHAnsi"/>
              </w:rPr>
              <w:t xml:space="preserve">Logistics companies based on sustainable business models </w:t>
            </w:r>
            <w:r w:rsidR="007A1ED6" w:rsidRPr="007A1ED6">
              <w:rPr>
                <w:rFonts w:asciiTheme="minorHAnsi" w:hAnsiTheme="minorHAnsi"/>
              </w:rPr>
              <w:t>(</w:t>
            </w:r>
            <w:r w:rsidRPr="007A1ED6">
              <w:rPr>
                <w:rFonts w:asciiTheme="minorHAnsi" w:hAnsiTheme="minorHAnsi"/>
              </w:rPr>
              <w:t>Specifics of start-up development in logistics</w:t>
            </w:r>
            <w:r w:rsidR="007A1ED6" w:rsidRPr="007A1ED6">
              <w:rPr>
                <w:rFonts w:asciiTheme="minorHAnsi" w:hAnsiTheme="minorHAnsi"/>
              </w:rPr>
              <w:t xml:space="preserve">, </w:t>
            </w:r>
            <w:r w:rsidRPr="007A1ED6">
              <w:rPr>
                <w:rFonts w:asciiTheme="minorHAnsi" w:hAnsiTheme="minorHAnsi"/>
                <w:lang w:val="en-GB"/>
              </w:rPr>
              <w:t>Cases of innovative business models</w:t>
            </w:r>
            <w:r w:rsidR="007A1ED6">
              <w:rPr>
                <w:rFonts w:asciiTheme="minorHAnsi" w:hAnsiTheme="minorHAnsi"/>
                <w:lang w:val="en-GB"/>
              </w:rPr>
              <w:t>)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54A01BA6" w14:textId="3772D65F" w:rsidR="00D37D33" w:rsidRPr="007A1ED6" w:rsidRDefault="007A1ED6" w:rsidP="00147A0E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7A1ED6">
              <w:rPr>
                <w:rFonts w:asciiTheme="minorHAnsi" w:hAnsiTheme="minorHAnsi"/>
                <w:lang w:val="en-GB"/>
              </w:rPr>
              <w:t>Change m</w:t>
            </w:r>
            <w:r w:rsidR="003D48E5" w:rsidRPr="007A1ED6">
              <w:rPr>
                <w:rFonts w:asciiTheme="minorHAnsi" w:hAnsiTheme="minorHAnsi"/>
              </w:rPr>
              <w:t xml:space="preserve">anagement </w:t>
            </w:r>
            <w:r w:rsidRPr="007A1ED6">
              <w:rPr>
                <w:rFonts w:asciiTheme="minorHAnsi" w:hAnsiTheme="minorHAnsi"/>
              </w:rPr>
              <w:t>(</w:t>
            </w:r>
            <w:r w:rsidR="003D48E5" w:rsidRPr="007A1ED6">
              <w:rPr>
                <w:rFonts w:asciiTheme="minorHAnsi" w:hAnsiTheme="minorHAnsi"/>
              </w:rPr>
              <w:t>strategic changes in logistics</w:t>
            </w:r>
            <w:r w:rsidRPr="007A1ED6">
              <w:rPr>
                <w:rFonts w:asciiTheme="minorHAnsi" w:hAnsiTheme="minorHAnsi"/>
              </w:rPr>
              <w:t xml:space="preserve">, integration of green technology, </w:t>
            </w:r>
            <w:r w:rsidR="00D37D33" w:rsidRPr="007A1ED6">
              <w:rPr>
                <w:rFonts w:asciiTheme="minorHAnsi" w:hAnsiTheme="minorHAnsi"/>
              </w:rPr>
              <w:t>Identifying new business opportunities in sustainable logistics</w:t>
            </w:r>
            <w:r>
              <w:rPr>
                <w:rFonts w:asciiTheme="minorHAnsi" w:hAnsiTheme="minorHAnsi"/>
              </w:rPr>
              <w:t>)</w:t>
            </w:r>
            <w:r w:rsidR="00147A0E">
              <w:rPr>
                <w:rFonts w:asciiTheme="minorHAnsi" w:hAnsiTheme="minorHAnsi"/>
              </w:rPr>
              <w:t>.</w:t>
            </w:r>
          </w:p>
          <w:p w14:paraId="1D519416" w14:textId="4B96DA6B" w:rsidR="003D48E5" w:rsidRPr="00D37D33" w:rsidRDefault="003D48E5" w:rsidP="00147A0E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D37D33">
              <w:rPr>
                <w:rFonts w:asciiTheme="minorHAnsi" w:hAnsiTheme="minorHAnsi"/>
                <w:lang w:val="en-GB"/>
              </w:rPr>
              <w:t xml:space="preserve">CANVAS </w:t>
            </w:r>
            <w:r w:rsidR="00D37D33">
              <w:rPr>
                <w:rFonts w:asciiTheme="minorHAnsi" w:hAnsiTheme="minorHAnsi"/>
                <w:lang w:val="en-GB"/>
              </w:rPr>
              <w:t>business</w:t>
            </w:r>
            <w:r w:rsidRPr="00D37D33">
              <w:rPr>
                <w:rFonts w:asciiTheme="minorHAnsi" w:hAnsiTheme="minorHAnsi"/>
                <w:lang w:val="en-GB"/>
              </w:rPr>
              <w:t xml:space="preserve"> model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5DAACF3B" w14:textId="4711C6CE" w:rsidR="00D37D33" w:rsidRPr="007A1ED6" w:rsidRDefault="00D37D33" w:rsidP="00147A0E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7A1ED6">
              <w:rPr>
                <w:rFonts w:asciiTheme="minorHAnsi" w:hAnsiTheme="minorHAnsi"/>
                <w:lang w:val="en-GB"/>
              </w:rPr>
              <w:t>Environmental standards and concepts</w:t>
            </w:r>
            <w:r w:rsidR="007A1ED6" w:rsidRPr="007A1ED6">
              <w:rPr>
                <w:rFonts w:asciiTheme="minorHAnsi" w:hAnsiTheme="minorHAnsi"/>
                <w:lang w:val="en-GB"/>
              </w:rPr>
              <w:t xml:space="preserve"> (ISO, Green SCOR, integration o</w:t>
            </w:r>
            <w:r w:rsidRPr="007A1ED6">
              <w:rPr>
                <w:rFonts w:asciiTheme="minorHAnsi" w:hAnsiTheme="minorHAnsi"/>
                <w:lang w:val="en-GB"/>
              </w:rPr>
              <w:t xml:space="preserve">f digitalisation </w:t>
            </w:r>
            <w:r w:rsidR="007A1ED6" w:rsidRPr="007A1ED6">
              <w:rPr>
                <w:rFonts w:asciiTheme="minorHAnsi" w:hAnsiTheme="minorHAnsi"/>
                <w:lang w:val="en-GB"/>
              </w:rPr>
              <w:t>a</w:t>
            </w:r>
            <w:r w:rsidR="007A1ED6">
              <w:rPr>
                <w:rFonts w:asciiTheme="minorHAnsi" w:hAnsiTheme="minorHAnsi"/>
                <w:lang w:val="en-GB"/>
              </w:rPr>
              <w:t xml:space="preserve">nd sustainability through </w:t>
            </w:r>
            <w:r w:rsidRPr="007A1ED6">
              <w:rPr>
                <w:rFonts w:asciiTheme="minorHAnsi" w:hAnsiTheme="minorHAnsi"/>
                <w:lang w:val="en-GB"/>
              </w:rPr>
              <w:t>the whole supply chain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7CDCEFF5" w14:textId="1004A3AE" w:rsidR="00B63298" w:rsidRPr="008B76CA" w:rsidRDefault="00D37D33" w:rsidP="00147A0E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7A1ED6">
              <w:rPr>
                <w:rFonts w:asciiTheme="minorHAnsi" w:hAnsiTheme="minorHAnsi"/>
                <w:lang w:val="en-GB"/>
              </w:rPr>
              <w:t>Sustainable consumption and production</w:t>
            </w:r>
            <w:r w:rsidR="007A1ED6" w:rsidRPr="007A1ED6">
              <w:rPr>
                <w:rFonts w:asciiTheme="minorHAnsi" w:hAnsiTheme="minorHAnsi"/>
                <w:lang w:val="en-GB"/>
              </w:rPr>
              <w:t xml:space="preserve"> (</w:t>
            </w:r>
            <w:r w:rsidRPr="007A1ED6">
              <w:rPr>
                <w:rFonts w:asciiTheme="minorHAnsi" w:hAnsiTheme="minorHAnsi"/>
                <w:lang w:val="en-GB"/>
              </w:rPr>
              <w:t xml:space="preserve">Ecodesign </w:t>
            </w:r>
            <w:r w:rsidR="007A1ED6">
              <w:rPr>
                <w:rFonts w:asciiTheme="minorHAnsi" w:hAnsiTheme="minorHAnsi"/>
                <w:lang w:val="en-GB"/>
              </w:rPr>
              <w:t xml:space="preserve">concept and </w:t>
            </w:r>
            <w:r w:rsidRPr="007A1ED6">
              <w:rPr>
                <w:rFonts w:asciiTheme="minorHAnsi" w:hAnsiTheme="minorHAnsi"/>
                <w:lang w:val="en-GB"/>
              </w:rPr>
              <w:t>strategy wheel</w:t>
            </w:r>
            <w:r w:rsidR="007A1ED6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 xml:space="preserve">strategies and measures </w:t>
            </w:r>
            <w:r w:rsidR="007A1ED6">
              <w:rPr>
                <w:rFonts w:asciiTheme="minorHAnsi" w:hAnsiTheme="minorHAnsi"/>
                <w:lang w:val="en-GB"/>
              </w:rPr>
              <w:t>for</w:t>
            </w:r>
            <w:r>
              <w:rPr>
                <w:rFonts w:asciiTheme="minorHAnsi" w:hAnsiTheme="minorHAnsi"/>
                <w:lang w:val="en-GB"/>
              </w:rPr>
              <w:t xml:space="preserve"> logistics companies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5A11E4" w:rsidRPr="0049183D" w14:paraId="12D2E732" w14:textId="77777777" w:rsidTr="00147A0E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490D0057" w14:textId="77777777" w:rsidR="00667ED1" w:rsidRPr="0049183D" w:rsidRDefault="005A11E4" w:rsidP="008A6EE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lastRenderedPageBreak/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8A1F0F" w:rsidRPr="00B63298" w14:paraId="652A6AB0" w14:textId="77777777" w:rsidTr="00147A0E">
        <w:trPr>
          <w:trHeight w:val="20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79F" w14:textId="77777777" w:rsidR="00B63298" w:rsidRPr="003D48E5" w:rsidRDefault="00B63298" w:rsidP="008A6EEC">
            <w:pPr>
              <w:tabs>
                <w:tab w:val="num" w:pos="36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3D48E5">
              <w:rPr>
                <w:rFonts w:asciiTheme="minorHAnsi" w:hAnsiTheme="minorHAnsi" w:cstheme="minorHAnsi"/>
              </w:rPr>
              <w:t xml:space="preserve">Osnovna literature/Essentialsources: </w:t>
            </w:r>
          </w:p>
          <w:p w14:paraId="69DA66F6" w14:textId="77777777" w:rsidR="00682C60" w:rsidRPr="003D48E5" w:rsidRDefault="00B63298" w:rsidP="00682C60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D48E5">
              <w:rPr>
                <w:rFonts w:asciiTheme="minorHAnsi" w:hAnsiTheme="minorHAnsi" w:cstheme="minorHAnsi"/>
              </w:rPr>
              <w:t>Obrecht, M. (20</w:t>
            </w:r>
            <w:r w:rsidR="003E5DCF" w:rsidRPr="003D48E5">
              <w:rPr>
                <w:rFonts w:asciiTheme="minorHAnsi" w:hAnsiTheme="minorHAnsi" w:cstheme="minorHAnsi"/>
              </w:rPr>
              <w:t>20</w:t>
            </w:r>
            <w:r w:rsidRPr="003D48E5">
              <w:rPr>
                <w:rFonts w:asciiTheme="minorHAnsi" w:hAnsiTheme="minorHAnsi" w:cstheme="minorHAnsi"/>
              </w:rPr>
              <w:t xml:space="preserve">). </w:t>
            </w:r>
            <w:r w:rsidR="003E5DCF" w:rsidRPr="003D48E5">
              <w:rPr>
                <w:rFonts w:asciiTheme="minorHAnsi" w:hAnsiTheme="minorHAnsi" w:cstheme="minorHAnsi"/>
              </w:rPr>
              <w:t>Life cycle management in supply chains</w:t>
            </w:r>
            <w:r w:rsidRPr="003D48E5">
              <w:rPr>
                <w:rFonts w:asciiTheme="minorHAnsi" w:hAnsiTheme="minorHAnsi" w:cstheme="minorHAnsi"/>
              </w:rPr>
              <w:t>. E-gradivo. Univerza v Mariboru, Fakulteta za logistiko.</w:t>
            </w:r>
            <w:r w:rsidR="003E5DCF" w:rsidRPr="003D48E5">
              <w:rPr>
                <w:rFonts w:asciiTheme="minorHAnsi" w:hAnsiTheme="minorHAnsi" w:cstheme="minorHAnsi"/>
              </w:rPr>
              <w:t xml:space="preserve"> </w:t>
            </w:r>
          </w:p>
          <w:p w14:paraId="7AACED37" w14:textId="6AD3F76A" w:rsidR="00B63298" w:rsidRPr="00682C60" w:rsidRDefault="00B63298" w:rsidP="00147A0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82C60">
              <w:rPr>
                <w:rFonts w:asciiTheme="minorHAnsi" w:hAnsiTheme="minorHAnsi" w:cstheme="minorHAnsi"/>
              </w:rPr>
              <w:t>Izbrana poglavja iz/Some Chapters</w:t>
            </w:r>
            <w:r w:rsidR="00147A0E">
              <w:rPr>
                <w:rFonts w:asciiTheme="minorHAnsi" w:hAnsiTheme="minorHAnsi" w:cstheme="minorHAnsi"/>
              </w:rPr>
              <w:t xml:space="preserve"> </w:t>
            </w:r>
            <w:r w:rsidRPr="00682C60">
              <w:rPr>
                <w:rFonts w:asciiTheme="minorHAnsi" w:hAnsiTheme="minorHAnsi" w:cstheme="minorHAnsi"/>
              </w:rPr>
              <w:t>from.</w:t>
            </w:r>
          </w:p>
          <w:p w14:paraId="57154EDD" w14:textId="77777777" w:rsidR="00B63298" w:rsidRDefault="00B63298" w:rsidP="00147A0E">
            <w:pPr>
              <w:pStyle w:val="Odstavekseznama"/>
              <w:numPr>
                <w:ilvl w:val="0"/>
                <w:numId w:val="19"/>
              </w:numPr>
              <w:outlineLvl w:val="0"/>
              <w:rPr>
                <w:rFonts w:asciiTheme="minorHAnsi" w:hAnsiTheme="minorHAnsi" w:cstheme="minorHAnsi"/>
              </w:rPr>
            </w:pPr>
            <w:r w:rsidRPr="00B63298">
              <w:rPr>
                <w:rFonts w:asciiTheme="minorHAnsi" w:hAnsiTheme="minorHAnsi" w:cstheme="minorHAnsi"/>
              </w:rPr>
              <w:t>Brezet, H. and Van Hemel, C. Ecodesign: A promising approach to sustainable production and consumption. UNEP, Paris, 1997.</w:t>
            </w:r>
          </w:p>
          <w:p w14:paraId="677F6619" w14:textId="77777777" w:rsidR="009200FE" w:rsidRDefault="009200FE" w:rsidP="009200FE">
            <w:pPr>
              <w:pStyle w:val="Odstavekseznama"/>
              <w:numPr>
                <w:ilvl w:val="0"/>
                <w:numId w:val="19"/>
              </w:numPr>
              <w:jc w:val="both"/>
              <w:outlineLvl w:val="0"/>
              <w:rPr>
                <w:rFonts w:asciiTheme="minorHAnsi" w:hAnsiTheme="minorHAnsi" w:cstheme="minorHAnsi"/>
              </w:rPr>
            </w:pPr>
            <w:r w:rsidRPr="00B63298">
              <w:rPr>
                <w:rFonts w:asciiTheme="minorHAnsi" w:hAnsiTheme="minorHAnsi" w:cstheme="minorHAnsi"/>
              </w:rPr>
              <w:t>Dolinsek, S. Management tehnologij: Učinkovito obvladovanj tehnoloških sprememb. UP, Koper, 2004.</w:t>
            </w:r>
          </w:p>
          <w:p w14:paraId="1D7CC9EA" w14:textId="77777777" w:rsidR="009200FE" w:rsidRPr="009200FE" w:rsidRDefault="009200FE" w:rsidP="009200FE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63298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Marinova, D. (ed.) The international Handbook on Environmental Technology Management. EE publishing, Cheltenham UK.</w:t>
            </w:r>
          </w:p>
          <w:p w14:paraId="575AE103" w14:textId="77777777" w:rsidR="00B63298" w:rsidRPr="0057113C" w:rsidRDefault="00B63298" w:rsidP="008A6EEC">
            <w:pPr>
              <w:tabs>
                <w:tab w:val="num" w:pos="360"/>
              </w:tabs>
              <w:spacing w:after="0"/>
              <w:ind w:left="360" w:hanging="360"/>
              <w:jc w:val="both"/>
              <w:rPr>
                <w:rFonts w:asciiTheme="minorHAnsi" w:hAnsiTheme="minorHAnsi" w:cstheme="minorHAnsi"/>
              </w:rPr>
            </w:pPr>
          </w:p>
          <w:p w14:paraId="5477031C" w14:textId="60C79218" w:rsidR="00B63298" w:rsidRPr="00B63298" w:rsidRDefault="00B63298" w:rsidP="008A6EEC">
            <w:pPr>
              <w:pStyle w:val="Default"/>
              <w:ind w:left="283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63298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Dodatna literature/Additional</w:t>
            </w:r>
            <w:r w:rsidR="00147A0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63298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sources: </w:t>
            </w:r>
          </w:p>
          <w:p w14:paraId="74BF2CE6" w14:textId="77777777" w:rsidR="00DF48A4" w:rsidRPr="009200FE" w:rsidRDefault="00E92DCC" w:rsidP="009200FE">
            <w:pPr>
              <w:pStyle w:val="Naslov1"/>
              <w:keepNext w:val="0"/>
              <w:numPr>
                <w:ilvl w:val="0"/>
                <w:numId w:val="19"/>
              </w:numPr>
              <w:pBdr>
                <w:bottom w:val="single" w:sz="6" w:space="3" w:color="ECECEC"/>
              </w:pBdr>
              <w:autoSpaceDE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sl-SI"/>
              </w:rPr>
            </w:pPr>
            <w:r w:rsidRPr="0057113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sl-SI"/>
              </w:rPr>
              <w:t>Bouhaddou, I., Benabdelhafid,  A., Ouzizi, L. and Benghabrit, Y.</w:t>
            </w:r>
            <w:r w:rsidR="0057113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sl-SI"/>
              </w:rPr>
              <w:t xml:space="preserve"> </w:t>
            </w:r>
            <w:r w:rsidRPr="0057113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sl-SI"/>
              </w:rPr>
              <w:t>Product Lifecycle Management Model for Supply Chain Optimization, IFIP, 2012.</w:t>
            </w:r>
          </w:p>
        </w:tc>
      </w:tr>
      <w:tr w:rsidR="005A11E4" w:rsidRPr="0049183D" w14:paraId="2ACDA951" w14:textId="77777777" w:rsidTr="00147A0E">
        <w:trPr>
          <w:trHeight w:val="73"/>
        </w:trPr>
        <w:tc>
          <w:tcPr>
            <w:tcW w:w="4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BDAF3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241B5D2B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48D1F9A3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2B2D7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773A6A9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667ED1" w:rsidRPr="008B76CA" w14:paraId="2440EA9C" w14:textId="77777777" w:rsidTr="00147A0E">
        <w:trPr>
          <w:trHeight w:val="778"/>
        </w:trPr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F16" w14:textId="77777777" w:rsidR="00682C60" w:rsidRDefault="00B63298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886330">
              <w:rPr>
                <w:rFonts w:asciiTheme="minorHAnsi" w:hAnsiTheme="minorHAnsi"/>
              </w:rPr>
              <w:t xml:space="preserve">Osnovni namen predmeta je </w:t>
            </w:r>
            <w:r w:rsidR="002675F4">
              <w:rPr>
                <w:rFonts w:asciiTheme="minorHAnsi" w:hAnsiTheme="minorHAnsi"/>
              </w:rPr>
              <w:t xml:space="preserve">identificirati </w:t>
            </w:r>
            <w:r w:rsidR="0057113C">
              <w:rPr>
                <w:rFonts w:asciiTheme="minorHAnsi" w:hAnsiTheme="minorHAnsi"/>
              </w:rPr>
              <w:t>nov</w:t>
            </w:r>
            <w:r w:rsidR="002675F4">
              <w:rPr>
                <w:rFonts w:asciiTheme="minorHAnsi" w:hAnsiTheme="minorHAnsi"/>
              </w:rPr>
              <w:t xml:space="preserve">e </w:t>
            </w:r>
            <w:r w:rsidR="00682C60">
              <w:rPr>
                <w:rFonts w:asciiTheme="minorHAnsi" w:hAnsiTheme="minorHAnsi"/>
              </w:rPr>
              <w:t xml:space="preserve">poslovne modele </w:t>
            </w:r>
            <w:r w:rsidR="0057113C">
              <w:rPr>
                <w:rFonts w:asciiTheme="minorHAnsi" w:hAnsiTheme="minorHAnsi"/>
              </w:rPr>
              <w:t xml:space="preserve">s področja </w:t>
            </w:r>
            <w:r w:rsidR="00682C60">
              <w:rPr>
                <w:rFonts w:asciiTheme="minorHAnsi" w:hAnsiTheme="minorHAnsi"/>
              </w:rPr>
              <w:t xml:space="preserve">delovanja </w:t>
            </w:r>
            <w:r w:rsidR="0057113C">
              <w:rPr>
                <w:rFonts w:asciiTheme="minorHAnsi" w:hAnsiTheme="minorHAnsi"/>
              </w:rPr>
              <w:t>logisti</w:t>
            </w:r>
            <w:r w:rsidR="00682C60">
              <w:rPr>
                <w:rFonts w:asciiTheme="minorHAnsi" w:hAnsiTheme="minorHAnsi"/>
              </w:rPr>
              <w:t xml:space="preserve">čnih podjetij </w:t>
            </w:r>
            <w:r w:rsidR="0057113C">
              <w:rPr>
                <w:rFonts w:asciiTheme="minorHAnsi" w:hAnsiTheme="minorHAnsi"/>
              </w:rPr>
              <w:t xml:space="preserve"> ter</w:t>
            </w:r>
            <w:r w:rsidR="00682C60">
              <w:rPr>
                <w:rFonts w:asciiTheme="minorHAnsi" w:hAnsiTheme="minorHAnsi"/>
              </w:rPr>
              <w:t xml:space="preserve"> jih povezati s trajnostnimi koncepti in strategijami za vpeljavo novih pogojev poslovanja. </w:t>
            </w:r>
          </w:p>
          <w:p w14:paraId="2E17BD7C" w14:textId="77777777" w:rsidR="00B63298" w:rsidRPr="00886330" w:rsidRDefault="00B63298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5FCD0441" w14:textId="77777777" w:rsidR="002675F4" w:rsidRDefault="00B63298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886330">
              <w:rPr>
                <w:rFonts w:asciiTheme="minorHAnsi" w:hAnsiTheme="minorHAnsi"/>
              </w:rPr>
              <w:t>Temelj</w:t>
            </w:r>
            <w:r>
              <w:rPr>
                <w:rFonts w:asciiTheme="minorHAnsi" w:hAnsiTheme="minorHAnsi"/>
              </w:rPr>
              <w:t>ni cilji predmeta so</w:t>
            </w:r>
            <w:r w:rsidR="002675F4">
              <w:rPr>
                <w:rFonts w:asciiTheme="minorHAnsi" w:hAnsiTheme="minorHAnsi"/>
              </w:rPr>
              <w:t>:</w:t>
            </w:r>
          </w:p>
          <w:p w14:paraId="57291305" w14:textId="633C94D5" w:rsidR="00603194" w:rsidRPr="009200FE" w:rsidRDefault="00603194" w:rsidP="00DA3D9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</w:rPr>
            </w:pPr>
            <w:r w:rsidRPr="009200FE">
              <w:rPr>
                <w:rFonts w:asciiTheme="minorHAnsi" w:hAnsiTheme="minorHAnsi"/>
              </w:rPr>
              <w:t xml:space="preserve">Identificirati in primerjalno analizirati ključne </w:t>
            </w:r>
            <w:r w:rsidR="00682C60" w:rsidRPr="009200FE">
              <w:rPr>
                <w:rFonts w:asciiTheme="minorHAnsi" w:hAnsiTheme="minorHAnsi"/>
              </w:rPr>
              <w:t>poslovne modele</w:t>
            </w:r>
            <w:r w:rsidRPr="009200FE">
              <w:rPr>
                <w:rFonts w:asciiTheme="minorHAnsi" w:hAnsiTheme="minorHAnsi"/>
              </w:rPr>
              <w:t xml:space="preserve"> v logistiki in OV</w:t>
            </w:r>
            <w:r w:rsidR="00147A0E">
              <w:rPr>
                <w:rFonts w:asciiTheme="minorHAnsi" w:hAnsiTheme="minorHAnsi"/>
              </w:rPr>
              <w:t>.</w:t>
            </w:r>
            <w:r w:rsidRPr="009200FE">
              <w:rPr>
                <w:rFonts w:asciiTheme="minorHAnsi" w:hAnsiTheme="minorHAnsi"/>
              </w:rPr>
              <w:t xml:space="preserve"> </w:t>
            </w:r>
          </w:p>
          <w:p w14:paraId="5DCB85C0" w14:textId="2626A1B9" w:rsidR="002675F4" w:rsidRPr="009200FE" w:rsidRDefault="00682C60" w:rsidP="00DA3D9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</w:rPr>
            </w:pPr>
            <w:r w:rsidRPr="009200FE">
              <w:rPr>
                <w:rFonts w:asciiTheme="minorHAnsi" w:hAnsiTheme="minorHAnsi"/>
              </w:rPr>
              <w:t>Primerjalno analizirati in izbirati najprimernejše</w:t>
            </w:r>
            <w:r w:rsidR="00B63298" w:rsidRPr="009200FE">
              <w:rPr>
                <w:rFonts w:asciiTheme="minorHAnsi" w:hAnsiTheme="minorHAnsi"/>
              </w:rPr>
              <w:t xml:space="preserve"> </w:t>
            </w:r>
            <w:r w:rsidRPr="009200FE">
              <w:rPr>
                <w:rFonts w:asciiTheme="minorHAnsi" w:hAnsiTheme="minorHAnsi"/>
              </w:rPr>
              <w:t>koncepte trajnostnega poslovanja podjetja</w:t>
            </w:r>
            <w:r w:rsidR="00147A0E">
              <w:rPr>
                <w:rFonts w:asciiTheme="minorHAnsi" w:hAnsiTheme="minorHAnsi"/>
              </w:rPr>
              <w:t>.</w:t>
            </w:r>
            <w:r w:rsidR="0057113C" w:rsidRPr="009200FE">
              <w:rPr>
                <w:rFonts w:asciiTheme="minorHAnsi" w:hAnsiTheme="minorHAnsi"/>
              </w:rPr>
              <w:t xml:space="preserve"> </w:t>
            </w:r>
          </w:p>
          <w:p w14:paraId="63D6F5E8" w14:textId="4172F714" w:rsidR="00603194" w:rsidRPr="009200FE" w:rsidRDefault="00603194" w:rsidP="00DA3D9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</w:rPr>
            </w:pPr>
            <w:r w:rsidRPr="009200FE">
              <w:rPr>
                <w:rFonts w:asciiTheme="minorHAnsi" w:hAnsiTheme="minorHAnsi"/>
              </w:rPr>
              <w:t xml:space="preserve">Povezati (souporabljati) različna managerska orodja in koncepte </w:t>
            </w:r>
            <w:r w:rsidR="00682C60" w:rsidRPr="009200FE">
              <w:rPr>
                <w:rFonts w:asciiTheme="minorHAnsi" w:hAnsiTheme="minorHAnsi"/>
              </w:rPr>
              <w:t>za kreiranje zelenih poslovnih modelov</w:t>
            </w:r>
            <w:r w:rsidR="00147A0E">
              <w:rPr>
                <w:rFonts w:asciiTheme="minorHAnsi" w:hAnsiTheme="minorHAnsi"/>
              </w:rPr>
              <w:t>.</w:t>
            </w:r>
          </w:p>
          <w:p w14:paraId="48A4B958" w14:textId="727D9440" w:rsidR="00355450" w:rsidRPr="009200FE" w:rsidRDefault="00603194" w:rsidP="00DA3D9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</w:rPr>
            </w:pPr>
            <w:r w:rsidRPr="009200FE">
              <w:rPr>
                <w:rFonts w:asciiTheme="minorHAnsi" w:hAnsiTheme="minorHAnsi"/>
              </w:rPr>
              <w:t xml:space="preserve">Povzeti in formulirati </w:t>
            </w:r>
            <w:r w:rsidR="00355450" w:rsidRPr="009200FE">
              <w:rPr>
                <w:rFonts w:asciiTheme="minorHAnsi" w:hAnsiTheme="minorHAnsi"/>
              </w:rPr>
              <w:t>nove poslovne modele, ki ustvarjajo vrednost</w:t>
            </w:r>
            <w:r w:rsidR="00147A0E">
              <w:rPr>
                <w:rFonts w:asciiTheme="minorHAnsi" w:hAnsiTheme="minorHAnsi"/>
              </w:rPr>
              <w:t>.</w:t>
            </w:r>
          </w:p>
          <w:p w14:paraId="72674CAB" w14:textId="77777777" w:rsidR="009200FE" w:rsidRPr="009200FE" w:rsidRDefault="009200FE" w:rsidP="00DA3D9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9200FE">
              <w:rPr>
                <w:rFonts w:asciiTheme="minorHAnsi" w:hAnsiTheme="minorHAnsi" w:cstheme="minorHAnsi"/>
              </w:rPr>
              <w:t>sintetizirati informacije s področja poslovnih modelov v logistiki, na način,</w:t>
            </w:r>
            <w:r w:rsidRPr="009200FE">
              <w:rPr>
                <w:rFonts w:asciiTheme="minorHAnsi" w:hAnsiTheme="minorHAnsi" w:cstheme="minorHAnsi"/>
                <w:b/>
              </w:rPr>
              <w:t xml:space="preserve"> </w:t>
            </w:r>
            <w:r w:rsidRPr="009200FE">
              <w:rPr>
                <w:rFonts w:asciiTheme="minorHAnsi" w:hAnsiTheme="minorHAnsi" w:cstheme="minorHAnsi"/>
              </w:rPr>
              <w:t>ki je lahko inovativen in vidi uporabno vrednost znanja ali procesov z vidika predmeta in prakse.</w:t>
            </w:r>
          </w:p>
          <w:p w14:paraId="7FF524F1" w14:textId="77777777" w:rsidR="009200FE" w:rsidRDefault="009200FE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</w:p>
          <w:p w14:paraId="1609031A" w14:textId="77777777" w:rsidR="009200FE" w:rsidRDefault="009200FE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Kompetence, ki jih pridobijo študentje:</w:t>
            </w:r>
          </w:p>
          <w:p w14:paraId="72C8CBCB" w14:textId="77777777" w:rsidR="009200FE" w:rsidRPr="009200FE" w:rsidRDefault="009200FE" w:rsidP="00DA3D9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9200FE">
              <w:rPr>
                <w:rFonts w:asciiTheme="minorHAnsi" w:hAnsiTheme="minorHAnsi" w:cstheme="minorHAnsi"/>
              </w:rPr>
              <w:t>Spoznajo in razumejo uporabo novih veščin in konceptov za nove okoliščine.</w:t>
            </w:r>
          </w:p>
          <w:p w14:paraId="1C3F124D" w14:textId="451EDC72" w:rsidR="009200FE" w:rsidRPr="009200FE" w:rsidRDefault="009200FE" w:rsidP="00DA3D9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9200FE">
              <w:rPr>
                <w:rFonts w:asciiTheme="minorHAnsi" w:hAnsiTheme="minorHAnsi" w:cstheme="minorHAnsi"/>
              </w:rPr>
              <w:t>Se naučijo samostojnega oblikovanja novih poslovnih modelov in</w:t>
            </w:r>
            <w:r w:rsidRPr="009200FE">
              <w:rPr>
                <w:rFonts w:asciiTheme="minorHAnsi" w:hAnsiTheme="minorHAnsi" w:cstheme="minorHAnsi"/>
                <w:b/>
              </w:rPr>
              <w:t xml:space="preserve"> </w:t>
            </w:r>
            <w:r w:rsidRPr="009200FE">
              <w:rPr>
                <w:rFonts w:asciiTheme="minorHAnsi" w:hAnsiTheme="minorHAnsi" w:cstheme="minorHAnsi"/>
              </w:rPr>
              <w:t>sprejemanja odločitev o primernih strategijah za vpeljavo sprememb</w:t>
            </w:r>
            <w:r w:rsidR="00DA3D92">
              <w:rPr>
                <w:rFonts w:asciiTheme="minorHAnsi" w:hAnsiTheme="minorHAnsi" w:cstheme="minorHAnsi"/>
              </w:rPr>
              <w:t>.</w:t>
            </w:r>
          </w:p>
          <w:p w14:paraId="3AADC8A6" w14:textId="0A52821A" w:rsidR="009200FE" w:rsidRPr="00DA3D92" w:rsidRDefault="009200FE" w:rsidP="00DA3D9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9200FE">
              <w:rPr>
                <w:rFonts w:asciiTheme="minorHAnsi" w:hAnsiTheme="minorHAnsi" w:cstheme="minorHAnsi"/>
              </w:rPr>
              <w:t>Se naučijo uporabe podpornih managerskih orodij (CANVAS, ISO standardi, Ekodizajn strategy wheel)</w:t>
            </w:r>
            <w:r w:rsidR="00DA3D92">
              <w:rPr>
                <w:rFonts w:asciiTheme="minorHAnsi" w:hAnsiTheme="minorHAnsi" w:cstheme="minorHAnsi"/>
              </w:rPr>
              <w:t>.</w:t>
            </w:r>
          </w:p>
          <w:p w14:paraId="4B2B43C0" w14:textId="77777777" w:rsidR="00147A0E" w:rsidRPr="00DA3D92" w:rsidRDefault="009200FE" w:rsidP="00DA3D9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DA3D92">
              <w:rPr>
                <w:rFonts w:asciiTheme="minorHAnsi" w:hAnsiTheme="minorHAnsi" w:cstheme="minorHAnsi"/>
              </w:rPr>
              <w:t>Se naučijo praktičnega dela v skupini pri razvoju novih idej in konceptov kot vodja ali kot član.</w:t>
            </w:r>
            <w:r w:rsidRPr="00DA3D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7F75661" w14:textId="1E0058EA" w:rsidR="009200FE" w:rsidRPr="00147A0E" w:rsidRDefault="009200FE" w:rsidP="00DA3D92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147A0E">
              <w:rPr>
                <w:rFonts w:asciiTheme="minorHAnsi" w:hAnsiTheme="minorHAnsi" w:cstheme="minorHAnsi"/>
              </w:rPr>
              <w:t>Zna pojasniti naloge in ustrezno uporabiti</w:t>
            </w:r>
            <w:r w:rsidRPr="00147A0E">
              <w:rPr>
                <w:rFonts w:asciiTheme="minorHAnsi" w:hAnsiTheme="minorHAnsi" w:cstheme="minorHAnsi"/>
                <w:b/>
              </w:rPr>
              <w:t xml:space="preserve"> </w:t>
            </w:r>
            <w:r w:rsidRPr="00147A0E">
              <w:rPr>
                <w:rFonts w:asciiTheme="minorHAnsi" w:hAnsiTheme="minorHAnsi" w:cstheme="minorHAnsi"/>
              </w:rPr>
              <w:t>zmožnosti članov skupine</w:t>
            </w:r>
            <w:r w:rsidR="00147A0E">
              <w:rPr>
                <w:rFonts w:asciiTheme="minorHAnsi" w:hAnsiTheme="minorHAnsi" w:cstheme="minorHAnsi"/>
              </w:rPr>
              <w:t>.</w:t>
            </w:r>
          </w:p>
          <w:p w14:paraId="26B9AB6B" w14:textId="77777777" w:rsidR="009200FE" w:rsidRPr="009200FE" w:rsidRDefault="009200FE" w:rsidP="00DA3D9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Spoznajo in razumejo </w:t>
            </w:r>
            <w:r w:rsidRPr="009200FE">
              <w:rPr>
                <w:rFonts w:asciiTheme="minorHAnsi" w:hAnsiTheme="minorHAnsi" w:cstheme="minorHAnsi"/>
              </w:rPr>
              <w:t xml:space="preserve">delovanje v kompleksnih in/ali posebnih okoliščinah </w:t>
            </w:r>
            <w:r>
              <w:rPr>
                <w:rFonts w:asciiTheme="minorHAnsi" w:hAnsiTheme="minorHAnsi" w:cstheme="minorHAnsi"/>
              </w:rPr>
              <w:t xml:space="preserve">in pomen </w:t>
            </w:r>
            <w:r w:rsidRPr="009200FE">
              <w:rPr>
                <w:rFonts w:asciiTheme="minorHAnsi" w:hAnsiTheme="minorHAnsi" w:cstheme="minorHAnsi"/>
              </w:rPr>
              <w:t xml:space="preserve"> </w:t>
            </w:r>
            <w:r w:rsidRPr="009200FE">
              <w:rPr>
                <w:rFonts w:asciiTheme="minorHAnsi" w:hAnsiTheme="minorHAnsi" w:cstheme="minorHAnsi"/>
              </w:rPr>
              <w:lastRenderedPageBreak/>
              <w:t>iniciativnost</w:t>
            </w:r>
            <w:r>
              <w:rPr>
                <w:rFonts w:asciiTheme="minorHAnsi" w:hAnsiTheme="minorHAnsi" w:cstheme="minorHAnsi"/>
              </w:rPr>
              <w:t>i pri vpeljavi sprememb na področju trajnostnega razvoja</w:t>
            </w:r>
            <w:r w:rsidRPr="009200FE">
              <w:rPr>
                <w:rFonts w:asciiTheme="minorHAnsi" w:hAnsiTheme="minorHAnsi" w:cstheme="minorHAnsi"/>
              </w:rPr>
              <w:t>.</w:t>
            </w:r>
          </w:p>
          <w:p w14:paraId="3BF1FC17" w14:textId="77777777" w:rsidR="009200FE" w:rsidRDefault="009200FE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</w:p>
          <w:p w14:paraId="18443CFA" w14:textId="77777777" w:rsidR="00667ED1" w:rsidRPr="00B63298" w:rsidRDefault="00B63298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886330">
              <w:rPr>
                <w:rFonts w:asciiTheme="minorHAnsi" w:hAnsiTheme="minorHAnsi"/>
              </w:rPr>
              <w:t xml:space="preserve">Z vidika predmetnika je predmet </w:t>
            </w:r>
            <w:r w:rsidR="00355450">
              <w:rPr>
                <w:rFonts w:asciiTheme="minorHAnsi" w:hAnsiTheme="minorHAnsi"/>
              </w:rPr>
              <w:t>Vzpostavitev trajnostnih konceptov delovanja logističnega podjetja</w:t>
            </w:r>
            <w:r w:rsidR="008A6EEC">
              <w:rPr>
                <w:rFonts w:asciiTheme="minorHAnsi" w:hAnsiTheme="minorHAnsi"/>
              </w:rPr>
              <w:t xml:space="preserve"> </w:t>
            </w:r>
            <w:r w:rsidRPr="00886330">
              <w:rPr>
                <w:rFonts w:asciiTheme="minorHAnsi" w:hAnsiTheme="minorHAnsi"/>
              </w:rPr>
              <w:t xml:space="preserve">mogoče opredeliti kot nadgradnjo predmetov </w:t>
            </w:r>
            <w:r w:rsidR="009B0EB6">
              <w:rPr>
                <w:rFonts w:asciiTheme="minorHAnsi" w:hAnsiTheme="minorHAnsi"/>
              </w:rPr>
              <w:t xml:space="preserve">vezanih na upravljanje </w:t>
            </w:r>
            <w:r w:rsidRPr="00886330">
              <w:rPr>
                <w:rFonts w:asciiTheme="minorHAnsi" w:hAnsiTheme="minorHAnsi"/>
              </w:rPr>
              <w:t xml:space="preserve">logistike in </w:t>
            </w:r>
            <w:r w:rsidR="009B0EB6">
              <w:rPr>
                <w:rFonts w:asciiTheme="minorHAnsi" w:hAnsiTheme="minorHAnsi"/>
              </w:rPr>
              <w:t>O</w:t>
            </w:r>
            <w:r w:rsidRPr="00886330">
              <w:rPr>
                <w:rFonts w:asciiTheme="minorHAnsi" w:hAnsiTheme="minorHAnsi"/>
              </w:rPr>
              <w:t>V</w:t>
            </w:r>
            <w:r w:rsidR="00355450">
              <w:rPr>
                <w:rFonts w:asciiTheme="minorHAnsi" w:hAnsiTheme="minorHAnsi"/>
              </w:rPr>
              <w:t>, poslovne procese ter zelene tehnologije in trajnostne oskrbovalne verige</w:t>
            </w:r>
            <w:r w:rsidRPr="00886330">
              <w:rPr>
                <w:rFonts w:asciiTheme="minorHAnsi" w:hAnsiTheme="minorHAnsi"/>
              </w:rPr>
              <w:t xml:space="preserve"> ter osnovo za nadaljnji samostojni študij študentov na področju</w:t>
            </w:r>
            <w:r w:rsidR="009B0EB6">
              <w:rPr>
                <w:rFonts w:asciiTheme="minorHAnsi" w:hAnsiTheme="minorHAnsi"/>
              </w:rPr>
              <w:t xml:space="preserve"> </w:t>
            </w:r>
            <w:r w:rsidR="00355450">
              <w:rPr>
                <w:rFonts w:asciiTheme="minorHAnsi" w:hAnsiTheme="minorHAnsi"/>
              </w:rPr>
              <w:t>kreiranja in primerjalne analize inovativnih konceptov trajnostnega delovanja logističnih podjetij</w:t>
            </w:r>
            <w:r w:rsidRPr="0088633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3F4F3" w14:textId="77777777" w:rsidR="00667ED1" w:rsidRPr="008B76CA" w:rsidRDefault="00667ED1" w:rsidP="00DA3D92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9D" w14:textId="77777777" w:rsidR="00B63298" w:rsidRPr="003D48E5" w:rsidRDefault="00B63298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886330">
              <w:rPr>
                <w:rFonts w:asciiTheme="minorHAnsi" w:hAnsiTheme="minorHAnsi"/>
                <w:lang w:val="en-US"/>
              </w:rPr>
              <w:t xml:space="preserve">The course introduces the subject of </w:t>
            </w:r>
            <w:r w:rsidR="00F64D66">
              <w:rPr>
                <w:rFonts w:asciiTheme="minorHAnsi" w:hAnsiTheme="minorHAnsi"/>
                <w:lang w:val="en-US"/>
              </w:rPr>
              <w:t>business models on the field of sustainable logistics operations</w:t>
            </w:r>
            <w:r w:rsidRPr="00886330">
              <w:rPr>
                <w:rFonts w:asciiTheme="minorHAnsi" w:hAnsiTheme="minorHAnsi"/>
                <w:lang w:val="en-US"/>
              </w:rPr>
              <w:t xml:space="preserve"> and its </w:t>
            </w:r>
            <w:r w:rsidR="00F64D66">
              <w:rPr>
                <w:rFonts w:asciiTheme="minorHAnsi" w:hAnsiTheme="minorHAnsi"/>
                <w:lang w:val="en-US"/>
              </w:rPr>
              <w:t xml:space="preserve">relations with sustainability business concepts and </w:t>
            </w:r>
            <w:r w:rsidR="00F64D66" w:rsidRPr="003D48E5">
              <w:rPr>
                <w:rFonts w:asciiTheme="minorHAnsi" w:hAnsiTheme="minorHAnsi"/>
                <w:lang w:val="en-GB"/>
              </w:rPr>
              <w:t>strategies for implementing changes in organisations</w:t>
            </w:r>
            <w:r w:rsidRPr="003D48E5">
              <w:rPr>
                <w:rFonts w:asciiTheme="minorHAnsi" w:hAnsiTheme="minorHAnsi"/>
                <w:lang w:val="en-GB"/>
              </w:rPr>
              <w:t xml:space="preserve">. </w:t>
            </w:r>
          </w:p>
          <w:p w14:paraId="3F679884" w14:textId="77777777" w:rsidR="00B63298" w:rsidRPr="003D48E5" w:rsidRDefault="00B63298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0452C770" w14:textId="77777777" w:rsidR="003D48E5" w:rsidRPr="003D48E5" w:rsidRDefault="003D48E5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GB"/>
              </w:rPr>
            </w:pPr>
            <w:r w:rsidRPr="003D48E5">
              <w:rPr>
                <w:rFonts w:asciiTheme="minorHAnsi" w:hAnsiTheme="minorHAnsi"/>
                <w:lang w:val="en-GB"/>
              </w:rPr>
              <w:t>Basic objectives:</w:t>
            </w:r>
          </w:p>
          <w:p w14:paraId="76B9D21A" w14:textId="518F8679" w:rsidR="003D48E5" w:rsidRPr="000941E6" w:rsidRDefault="003D48E5" w:rsidP="00DA3D92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GB"/>
              </w:rPr>
            </w:pPr>
            <w:r w:rsidRPr="000941E6">
              <w:rPr>
                <w:rFonts w:asciiTheme="minorHAnsi" w:hAnsiTheme="minorHAnsi"/>
                <w:lang w:val="en-GB"/>
              </w:rPr>
              <w:t>Identify and comparatively analyse core business models in logistics and supply chains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51BE150C" w14:textId="0A26B171" w:rsidR="003D48E5" w:rsidRPr="000941E6" w:rsidRDefault="003D48E5" w:rsidP="00DA3D92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GB"/>
              </w:rPr>
            </w:pPr>
            <w:r w:rsidRPr="000941E6">
              <w:rPr>
                <w:rFonts w:asciiTheme="minorHAnsi" w:hAnsiTheme="minorHAnsi"/>
                <w:lang w:val="en-GB"/>
              </w:rPr>
              <w:t>Make comparative analysis of most appropriate sustainable business concepts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  <w:r w:rsidRPr="000941E6">
              <w:rPr>
                <w:rFonts w:asciiTheme="minorHAnsi" w:hAnsiTheme="minorHAnsi"/>
                <w:lang w:val="en-GB"/>
              </w:rPr>
              <w:t xml:space="preserve"> </w:t>
            </w:r>
          </w:p>
          <w:p w14:paraId="043A52E4" w14:textId="77777777" w:rsidR="003D48E5" w:rsidRPr="000941E6" w:rsidRDefault="003D48E5" w:rsidP="00DA3D92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GB"/>
              </w:rPr>
            </w:pPr>
            <w:r w:rsidRPr="000941E6">
              <w:rPr>
                <w:rFonts w:asciiTheme="minorHAnsi" w:hAnsiTheme="minorHAnsi"/>
                <w:lang w:val="en-GB"/>
              </w:rPr>
              <w:t>Connect and inter-relate different managerial tools to create new green business models.</w:t>
            </w:r>
          </w:p>
          <w:p w14:paraId="4C8AAD06" w14:textId="0971FB98" w:rsidR="003D48E5" w:rsidRDefault="003D48E5" w:rsidP="00DA3D92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GB"/>
              </w:rPr>
            </w:pPr>
            <w:r w:rsidRPr="000941E6">
              <w:rPr>
                <w:rFonts w:asciiTheme="minorHAnsi" w:hAnsiTheme="minorHAnsi"/>
                <w:lang w:val="en-GB"/>
              </w:rPr>
              <w:t>Summarize and formulate new business models that create new value</w:t>
            </w:r>
            <w:r w:rsidR="00147A0E">
              <w:rPr>
                <w:rFonts w:asciiTheme="minorHAnsi" w:hAnsiTheme="minorHAnsi"/>
                <w:lang w:val="en-GB"/>
              </w:rPr>
              <w:t>.</w:t>
            </w:r>
          </w:p>
          <w:p w14:paraId="7F1CA1DB" w14:textId="77777777" w:rsidR="000941E6" w:rsidRDefault="000941E6" w:rsidP="00DA3D92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Sinthesise information on business models in an innovative way and can see practical value of gained knowledge.</w:t>
            </w:r>
          </w:p>
          <w:p w14:paraId="087A573B" w14:textId="6AD832ED" w:rsidR="000941E6" w:rsidRDefault="000941E6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GB"/>
              </w:rPr>
            </w:pPr>
          </w:p>
          <w:p w14:paraId="0326AE61" w14:textId="77777777" w:rsidR="00DA3D92" w:rsidRDefault="00DA3D92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GB"/>
              </w:rPr>
            </w:pPr>
          </w:p>
          <w:p w14:paraId="587131E6" w14:textId="74CDAAE4" w:rsidR="000941E6" w:rsidRDefault="000941E6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Core competencies:</w:t>
            </w:r>
          </w:p>
          <w:p w14:paraId="099418A1" w14:textId="2A9F8786" w:rsidR="000941E6" w:rsidRPr="00147A0E" w:rsidRDefault="000941E6" w:rsidP="00DA3D92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GB"/>
              </w:rPr>
            </w:pPr>
            <w:r w:rsidRPr="00147A0E">
              <w:rPr>
                <w:rFonts w:asciiTheme="minorHAnsi" w:hAnsiTheme="minorHAnsi"/>
                <w:lang w:val="en-GB"/>
              </w:rPr>
              <w:t>Learn and understand use of new skills, concepts and models related to new business environment</w:t>
            </w:r>
            <w:r w:rsidR="00DA3D92">
              <w:rPr>
                <w:rFonts w:asciiTheme="minorHAnsi" w:hAnsiTheme="minorHAnsi"/>
                <w:lang w:val="en-GB"/>
              </w:rPr>
              <w:t>.</w:t>
            </w:r>
          </w:p>
          <w:p w14:paraId="11818453" w14:textId="232D01A3" w:rsidR="000941E6" w:rsidRPr="00147A0E" w:rsidRDefault="000941E6" w:rsidP="00DA3D92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147A0E">
              <w:rPr>
                <w:rFonts w:asciiTheme="minorHAnsi" w:hAnsiTheme="minorHAnsi" w:cstheme="minorHAnsi"/>
                <w:lang w:val="en-US"/>
              </w:rPr>
              <w:t>Can demonstrate initiative and originality in problem</w:t>
            </w:r>
            <w:r w:rsidRPr="00147A0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47A0E">
              <w:rPr>
                <w:rFonts w:asciiTheme="minorHAnsi" w:hAnsiTheme="minorHAnsi" w:cstheme="minorHAnsi"/>
                <w:lang w:val="en-US"/>
              </w:rPr>
              <w:t>solving. Can act autonomously in planning and</w:t>
            </w:r>
            <w:r w:rsidRPr="00147A0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47A0E">
              <w:rPr>
                <w:rFonts w:asciiTheme="minorHAnsi" w:hAnsiTheme="minorHAnsi" w:cstheme="minorHAnsi"/>
                <w:lang w:val="en-US"/>
              </w:rPr>
              <w:t>implementing tasks at a professional or equivalent</w:t>
            </w:r>
            <w:r w:rsidR="00147A0E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0BE2198" w14:textId="40076D93" w:rsidR="000941E6" w:rsidRPr="00147A0E" w:rsidRDefault="00147A0E" w:rsidP="00DA3D92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Are</w:t>
            </w:r>
            <w:r w:rsidR="000941E6" w:rsidRPr="00147A0E">
              <w:rPr>
                <w:rFonts w:asciiTheme="minorHAnsi" w:hAnsiTheme="minorHAnsi"/>
                <w:lang w:val="en-GB"/>
              </w:rPr>
              <w:t xml:space="preserve"> able to use managerial tools (CANVAS, ISO standards, ECODESIGN strategy wheel)</w:t>
            </w:r>
            <w:r>
              <w:rPr>
                <w:rFonts w:asciiTheme="minorHAnsi" w:hAnsiTheme="minorHAnsi"/>
                <w:lang w:val="en-GB"/>
              </w:rPr>
              <w:t>.</w:t>
            </w:r>
          </w:p>
          <w:p w14:paraId="656BC960" w14:textId="77777777" w:rsidR="00147A0E" w:rsidRPr="00147A0E" w:rsidRDefault="000941E6" w:rsidP="00DA3D92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147A0E">
              <w:rPr>
                <w:rFonts w:asciiTheme="minorHAnsi" w:hAnsiTheme="minorHAnsi" w:cstheme="minorHAnsi"/>
                <w:lang w:val="en-US"/>
              </w:rPr>
              <w:t xml:space="preserve">Can work effectively with a group as leader or member. </w:t>
            </w:r>
          </w:p>
          <w:p w14:paraId="091B9BF7" w14:textId="27939FF2" w:rsidR="000941E6" w:rsidRPr="00147A0E" w:rsidRDefault="000941E6" w:rsidP="00DA3D92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147A0E">
              <w:rPr>
                <w:rFonts w:asciiTheme="minorHAnsi" w:hAnsiTheme="minorHAnsi" w:cstheme="minorHAnsi"/>
                <w:lang w:val="en-US"/>
              </w:rPr>
              <w:t>Can clarify tasks and make appropriate use of the capacities of group members. Is able to use full range of learning resources.</w:t>
            </w:r>
          </w:p>
          <w:p w14:paraId="033AFABF" w14:textId="77777777" w:rsidR="000941E6" w:rsidRPr="00147A0E" w:rsidRDefault="000941E6" w:rsidP="00DA3D92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47A0E">
              <w:rPr>
                <w:rFonts w:asciiTheme="minorHAnsi" w:hAnsiTheme="minorHAnsi" w:cstheme="minorHAnsi"/>
                <w:lang w:val="en-US"/>
              </w:rPr>
              <w:lastRenderedPageBreak/>
              <w:t>With critical awareness can undertake analysis of</w:t>
            </w:r>
            <w:r w:rsidRPr="00147A0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47A0E">
              <w:rPr>
                <w:rFonts w:asciiTheme="minorHAnsi" w:hAnsiTheme="minorHAnsi" w:cstheme="minorHAnsi"/>
                <w:lang w:val="en-US"/>
              </w:rPr>
              <w:t xml:space="preserve">complex, incomplete areas (business models, concepts, strategies) and understands the importance of self-initiatives in managing changes related with business sustainability. </w:t>
            </w:r>
          </w:p>
          <w:p w14:paraId="08B224B7" w14:textId="77777777" w:rsidR="000941E6" w:rsidRPr="000941E6" w:rsidRDefault="000941E6" w:rsidP="00DA3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5374438" w14:textId="77777777" w:rsidR="003D48E5" w:rsidRPr="003D48E5" w:rsidRDefault="003D48E5" w:rsidP="00DA3D92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886330">
              <w:rPr>
                <w:rFonts w:asciiTheme="minorHAnsi" w:hAnsiTheme="minorHAnsi"/>
                <w:lang w:val="en-US"/>
              </w:rPr>
              <w:t xml:space="preserve">The purpose of the course is </w:t>
            </w:r>
            <w:r>
              <w:rPr>
                <w:rFonts w:asciiTheme="minorHAnsi" w:hAnsiTheme="minorHAnsi"/>
                <w:lang w:val="en-US"/>
              </w:rPr>
              <w:t>seen as an upgrade of logistics and supply chain processes related and green technology and sustainability concepts related bachelor courses and a strong base for further individual or group studies in the field of creating and comparing innovative sustainable logistics companies and business concepts.</w:t>
            </w:r>
          </w:p>
        </w:tc>
      </w:tr>
      <w:tr w:rsidR="00667ED1" w:rsidRPr="0049183D" w14:paraId="38A820DC" w14:textId="77777777" w:rsidTr="00147A0E">
        <w:trPr>
          <w:trHeight w:val="117"/>
        </w:trPr>
        <w:tc>
          <w:tcPr>
            <w:tcW w:w="4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517D5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C202E91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09A74D4A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24CD6D6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AD079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D7C67D4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B63298" w:rsidRPr="00B63298" w14:paraId="79E271E8" w14:textId="77777777" w:rsidTr="00147A0E">
        <w:trPr>
          <w:trHeight w:val="410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088" w14:textId="77777777" w:rsidR="00B63298" w:rsidRPr="00B63298" w:rsidRDefault="00B63298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63298">
              <w:rPr>
                <w:rFonts w:asciiTheme="minorHAnsi" w:hAnsiTheme="minorHAnsi" w:cstheme="minorHAnsi"/>
                <w:b/>
                <w:bCs/>
              </w:rPr>
              <w:t>Znanje in razumevanje:</w:t>
            </w:r>
          </w:p>
          <w:p w14:paraId="40E0F542" w14:textId="77777777" w:rsidR="00B63298" w:rsidRPr="00B63298" w:rsidRDefault="00B63298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B63298">
              <w:rPr>
                <w:rFonts w:asciiTheme="minorHAnsi" w:hAnsiTheme="minorHAnsi" w:cstheme="minorHAnsi"/>
              </w:rPr>
              <w:t>Ob zaključku predmeta bodo udeleženci:</w:t>
            </w:r>
          </w:p>
          <w:p w14:paraId="112DB321" w14:textId="77777777" w:rsidR="00B63298" w:rsidRPr="009200FE" w:rsidRDefault="00B63298" w:rsidP="00B61D1A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9200FE">
              <w:rPr>
                <w:rFonts w:asciiTheme="minorHAnsi" w:hAnsiTheme="minorHAnsi" w:cstheme="minorHAnsi"/>
              </w:rPr>
              <w:t xml:space="preserve">pridobili splošno znanje o </w:t>
            </w:r>
            <w:r w:rsidR="00355450" w:rsidRPr="009200FE">
              <w:rPr>
                <w:rFonts w:asciiTheme="minorHAnsi" w:hAnsiTheme="minorHAnsi" w:cstheme="minorHAnsi"/>
              </w:rPr>
              <w:t>poslovnih modelih in konceptih</w:t>
            </w:r>
            <w:r w:rsidR="009200FE" w:rsidRPr="009200FE">
              <w:rPr>
                <w:rFonts w:asciiTheme="minorHAnsi" w:hAnsiTheme="minorHAnsi" w:cstheme="minorHAnsi"/>
              </w:rPr>
              <w:t xml:space="preserve"> in </w:t>
            </w:r>
            <w:r w:rsidRPr="009200FE">
              <w:rPr>
                <w:rFonts w:asciiTheme="minorHAnsi" w:hAnsiTheme="minorHAnsi" w:cstheme="minorHAnsi"/>
              </w:rPr>
              <w:t xml:space="preserve">specifično znanje o uporabi </w:t>
            </w:r>
            <w:r w:rsidR="00355450" w:rsidRPr="009200FE">
              <w:rPr>
                <w:rFonts w:asciiTheme="minorHAnsi" w:hAnsiTheme="minorHAnsi" w:cstheme="minorHAnsi"/>
              </w:rPr>
              <w:t xml:space="preserve">poslovnih </w:t>
            </w:r>
            <w:r w:rsidRPr="009200FE">
              <w:rPr>
                <w:rFonts w:asciiTheme="minorHAnsi" w:hAnsiTheme="minorHAnsi" w:cstheme="minorHAnsi"/>
              </w:rPr>
              <w:t>konceptov v različnih organizacijskih sistemih</w:t>
            </w:r>
            <w:r w:rsidR="00603194" w:rsidRPr="009200FE">
              <w:rPr>
                <w:rFonts w:asciiTheme="minorHAnsi" w:hAnsiTheme="minorHAnsi" w:cstheme="minorHAnsi"/>
              </w:rPr>
              <w:t xml:space="preserve"> in okoljih</w:t>
            </w:r>
            <w:r w:rsidRPr="009200FE">
              <w:rPr>
                <w:rFonts w:asciiTheme="minorHAnsi" w:hAnsiTheme="minorHAnsi" w:cstheme="minorHAnsi"/>
              </w:rPr>
              <w:t>,</w:t>
            </w:r>
          </w:p>
          <w:p w14:paraId="213DBDC6" w14:textId="77777777" w:rsidR="00B63298" w:rsidRPr="00357DF7" w:rsidRDefault="002A5EB2" w:rsidP="008A6EEC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357DF7">
              <w:rPr>
                <w:rFonts w:asciiTheme="minorHAnsi" w:hAnsiTheme="minorHAnsi" w:cstheme="minorHAnsi"/>
              </w:rPr>
              <w:t>znali identificirati i</w:t>
            </w:r>
            <w:r w:rsidR="00355450" w:rsidRPr="00357DF7">
              <w:rPr>
                <w:rFonts w:asciiTheme="minorHAnsi" w:hAnsiTheme="minorHAnsi" w:cstheme="minorHAnsi"/>
              </w:rPr>
              <w:t>novativn</w:t>
            </w:r>
            <w:r w:rsidRPr="00357DF7">
              <w:rPr>
                <w:rFonts w:asciiTheme="minorHAnsi" w:hAnsiTheme="minorHAnsi" w:cstheme="minorHAnsi"/>
              </w:rPr>
              <w:t>e</w:t>
            </w:r>
            <w:r w:rsidR="00355450" w:rsidRPr="00357DF7">
              <w:rPr>
                <w:rFonts w:asciiTheme="minorHAnsi" w:hAnsiTheme="minorHAnsi" w:cstheme="minorHAnsi"/>
              </w:rPr>
              <w:t xml:space="preserve"> poslovn</w:t>
            </w:r>
            <w:r w:rsidRPr="00357DF7">
              <w:rPr>
                <w:rFonts w:asciiTheme="minorHAnsi" w:hAnsiTheme="minorHAnsi" w:cstheme="minorHAnsi"/>
              </w:rPr>
              <w:t>e</w:t>
            </w:r>
            <w:r w:rsidR="00355450" w:rsidRPr="00357DF7">
              <w:rPr>
                <w:rFonts w:asciiTheme="minorHAnsi" w:hAnsiTheme="minorHAnsi" w:cstheme="minorHAnsi"/>
              </w:rPr>
              <w:t xml:space="preserve"> model</w:t>
            </w:r>
            <w:r w:rsidRPr="00357DF7">
              <w:rPr>
                <w:rFonts w:asciiTheme="minorHAnsi" w:hAnsiTheme="minorHAnsi" w:cstheme="minorHAnsi"/>
              </w:rPr>
              <w:t>e</w:t>
            </w:r>
            <w:r w:rsidR="00355450" w:rsidRPr="00357DF7">
              <w:rPr>
                <w:rFonts w:asciiTheme="minorHAnsi" w:hAnsiTheme="minorHAnsi" w:cstheme="minorHAnsi"/>
              </w:rPr>
              <w:t xml:space="preserve"> </w:t>
            </w:r>
            <w:r w:rsidRPr="00357DF7">
              <w:rPr>
                <w:rFonts w:asciiTheme="minorHAnsi" w:hAnsiTheme="minorHAnsi" w:cstheme="minorHAnsi"/>
              </w:rPr>
              <w:t xml:space="preserve">in jih uporabiti pri </w:t>
            </w:r>
            <w:r w:rsidR="00355450" w:rsidRPr="00357DF7">
              <w:rPr>
                <w:rFonts w:asciiTheme="minorHAnsi" w:hAnsiTheme="minorHAnsi" w:cstheme="minorHAnsi"/>
              </w:rPr>
              <w:t>o</w:t>
            </w:r>
            <w:r w:rsidR="00603194" w:rsidRPr="00357DF7">
              <w:rPr>
                <w:rFonts w:asciiTheme="minorHAnsi" w:hAnsiTheme="minorHAnsi" w:cstheme="minorHAnsi"/>
              </w:rPr>
              <w:t>blikovanj</w:t>
            </w:r>
            <w:r w:rsidRPr="00357DF7">
              <w:rPr>
                <w:rFonts w:asciiTheme="minorHAnsi" w:hAnsiTheme="minorHAnsi" w:cstheme="minorHAnsi"/>
              </w:rPr>
              <w:t>u</w:t>
            </w:r>
            <w:r w:rsidR="00603194" w:rsidRPr="00357DF7">
              <w:rPr>
                <w:rFonts w:asciiTheme="minorHAnsi" w:hAnsiTheme="minorHAnsi" w:cstheme="minorHAnsi"/>
              </w:rPr>
              <w:t xml:space="preserve"> </w:t>
            </w:r>
            <w:r w:rsidR="00B63298" w:rsidRPr="00357DF7">
              <w:rPr>
                <w:rFonts w:asciiTheme="minorHAnsi" w:hAnsiTheme="minorHAnsi" w:cstheme="minorHAnsi"/>
              </w:rPr>
              <w:t xml:space="preserve">koncepta </w:t>
            </w:r>
            <w:r w:rsidR="00355450" w:rsidRPr="00357DF7">
              <w:rPr>
                <w:rFonts w:asciiTheme="minorHAnsi" w:hAnsiTheme="minorHAnsi" w:cstheme="minorHAnsi"/>
              </w:rPr>
              <w:t>trajnostnega logističnega podjetja</w:t>
            </w:r>
            <w:r w:rsidR="00B63298" w:rsidRPr="00357DF7">
              <w:rPr>
                <w:rFonts w:asciiTheme="minorHAnsi" w:hAnsiTheme="minorHAnsi" w:cstheme="minorHAnsi"/>
              </w:rPr>
              <w:t>,</w:t>
            </w:r>
          </w:p>
          <w:p w14:paraId="58A62507" w14:textId="77777777" w:rsidR="00B63298" w:rsidRPr="00357DF7" w:rsidRDefault="00B63298" w:rsidP="008A6EEC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357DF7">
              <w:rPr>
                <w:rFonts w:asciiTheme="minorHAnsi" w:hAnsiTheme="minorHAnsi" w:cstheme="minorHAnsi"/>
              </w:rPr>
              <w:t>razvili sposobnost razumevanja organizacije z</w:t>
            </w:r>
          </w:p>
          <w:p w14:paraId="78E75E0C" w14:textId="77777777" w:rsidR="00B63298" w:rsidRPr="00357DF7" w:rsidRDefault="00B63298" w:rsidP="008A6EEC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357DF7">
              <w:rPr>
                <w:rFonts w:asciiTheme="minorHAnsi" w:hAnsiTheme="minorHAnsi" w:cstheme="minorHAnsi"/>
              </w:rPr>
              <w:t xml:space="preserve">vidika managementa </w:t>
            </w:r>
            <w:r w:rsidR="00355450" w:rsidRPr="00357DF7">
              <w:rPr>
                <w:rFonts w:asciiTheme="minorHAnsi" w:hAnsiTheme="minorHAnsi" w:cstheme="minorHAnsi"/>
              </w:rPr>
              <w:t>sprememb</w:t>
            </w:r>
            <w:r w:rsidRPr="00357DF7">
              <w:rPr>
                <w:rFonts w:asciiTheme="minorHAnsi" w:hAnsiTheme="minorHAnsi" w:cstheme="minorHAnsi"/>
              </w:rPr>
              <w:t xml:space="preserve">, </w:t>
            </w:r>
          </w:p>
          <w:p w14:paraId="5F0FF0C3" w14:textId="77777777" w:rsidR="00B63298" w:rsidRPr="00357DF7" w:rsidRDefault="002A5EB2" w:rsidP="00C5311B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357DF7">
              <w:rPr>
                <w:rFonts w:asciiTheme="minorHAnsi" w:hAnsiTheme="minorHAnsi" w:cstheme="minorHAnsi"/>
              </w:rPr>
              <w:t>znali uporabiti orodja ekodizajna v logističnih podjetjih</w:t>
            </w:r>
            <w:r w:rsidR="00B63298" w:rsidRPr="00357DF7">
              <w:rPr>
                <w:rFonts w:asciiTheme="minorHAnsi" w:hAnsiTheme="minorHAnsi" w:cstheme="minorHAnsi"/>
              </w:rPr>
              <w:t>,</w:t>
            </w:r>
          </w:p>
          <w:p w14:paraId="72CC5D6F" w14:textId="62B5EDD7" w:rsidR="00B63298" w:rsidRPr="00147A0E" w:rsidRDefault="002A5EB2" w:rsidP="009200FE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57DF7">
              <w:rPr>
                <w:rFonts w:asciiTheme="minorHAnsi" w:hAnsiTheme="minorHAnsi" w:cstheme="minorHAnsi"/>
              </w:rPr>
              <w:t>znali analizirati praktične probleme</w:t>
            </w:r>
            <w:r w:rsidR="00B63298" w:rsidRPr="00357DF7">
              <w:rPr>
                <w:rFonts w:asciiTheme="minorHAnsi" w:hAnsiTheme="minorHAnsi" w:cstheme="minorHAnsi"/>
              </w:rPr>
              <w:t xml:space="preserve"> povezan</w:t>
            </w:r>
            <w:r w:rsidRPr="00357DF7">
              <w:rPr>
                <w:rFonts w:asciiTheme="minorHAnsi" w:hAnsiTheme="minorHAnsi" w:cstheme="minorHAnsi"/>
              </w:rPr>
              <w:t>e</w:t>
            </w:r>
            <w:r w:rsidR="00B63298" w:rsidRPr="00357DF7">
              <w:rPr>
                <w:rFonts w:asciiTheme="minorHAnsi" w:hAnsiTheme="minorHAnsi" w:cstheme="minorHAnsi"/>
              </w:rPr>
              <w:t xml:space="preserve"> </w:t>
            </w:r>
            <w:r w:rsidR="00355450" w:rsidRPr="00357DF7">
              <w:rPr>
                <w:rFonts w:asciiTheme="minorHAnsi" w:hAnsiTheme="minorHAnsi" w:cstheme="minorHAnsi"/>
              </w:rPr>
              <w:t xml:space="preserve">s </w:t>
            </w:r>
            <w:r w:rsidR="00603194" w:rsidRPr="00357DF7">
              <w:rPr>
                <w:rFonts w:asciiTheme="minorHAnsi" w:hAnsiTheme="minorHAnsi" w:cstheme="minorHAnsi"/>
              </w:rPr>
              <w:t xml:space="preserve">prilagajanjem </w:t>
            </w:r>
            <w:r w:rsidR="00355450" w:rsidRPr="00357DF7">
              <w:rPr>
                <w:rFonts w:asciiTheme="minorHAnsi" w:hAnsiTheme="minorHAnsi" w:cstheme="minorHAnsi"/>
              </w:rPr>
              <w:t>na strateške spremembe</w:t>
            </w:r>
            <w:r w:rsidR="000941E6" w:rsidRPr="00357DF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9711C" w14:textId="77777777" w:rsidR="00B63298" w:rsidRPr="00B63298" w:rsidRDefault="00B63298" w:rsidP="008A6EEC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21E" w14:textId="77777777" w:rsidR="00B63298" w:rsidRPr="00B63298" w:rsidRDefault="00B63298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63298">
              <w:rPr>
                <w:rFonts w:asciiTheme="minorHAnsi" w:hAnsiTheme="minorHAnsi" w:cstheme="minorHAnsi"/>
                <w:b/>
                <w:bCs/>
                <w:lang w:val="en-US"/>
              </w:rPr>
              <w:t>Development of knowledge and understanding</w:t>
            </w:r>
          </w:p>
          <w:p w14:paraId="0BF4E5AA" w14:textId="77777777" w:rsidR="00B63298" w:rsidRPr="00B63298" w:rsidRDefault="00B63298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63298">
              <w:rPr>
                <w:rFonts w:asciiTheme="minorHAnsi" w:hAnsiTheme="minorHAnsi" w:cstheme="minorHAnsi"/>
                <w:b/>
                <w:bCs/>
                <w:lang w:val="en-US"/>
              </w:rPr>
              <w:t>Knowledge issues</w:t>
            </w:r>
          </w:p>
          <w:p w14:paraId="4D1B594A" w14:textId="77777777" w:rsidR="00B63298" w:rsidRPr="00B63298" w:rsidRDefault="00B63298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63298">
              <w:rPr>
                <w:rFonts w:asciiTheme="minorHAnsi" w:hAnsiTheme="minorHAnsi" w:cstheme="minorHAnsi"/>
                <w:lang w:val="en-US"/>
              </w:rPr>
              <w:t>By the end of the course participants should:</w:t>
            </w:r>
          </w:p>
          <w:p w14:paraId="2D3D3E01" w14:textId="77777777" w:rsidR="00B63298" w:rsidRPr="000941E6" w:rsidRDefault="00B63298" w:rsidP="000941E6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63298">
              <w:rPr>
                <w:rFonts w:asciiTheme="minorHAnsi" w:hAnsiTheme="minorHAnsi" w:cstheme="minorHAnsi"/>
                <w:lang w:val="en-US"/>
              </w:rPr>
              <w:t>gain the general</w:t>
            </w:r>
            <w:r w:rsidR="000941E6">
              <w:rPr>
                <w:rFonts w:asciiTheme="minorHAnsi" w:hAnsiTheme="minorHAnsi" w:cstheme="minorHAnsi"/>
                <w:lang w:val="en-US"/>
              </w:rPr>
              <w:t xml:space="preserve"> and specific</w:t>
            </w:r>
            <w:r w:rsidRPr="00B63298">
              <w:rPr>
                <w:rFonts w:asciiTheme="minorHAnsi" w:hAnsiTheme="minorHAnsi" w:cstheme="minorHAnsi"/>
                <w:lang w:val="en-US"/>
              </w:rPr>
              <w:t xml:space="preserve"> knowledge of </w:t>
            </w:r>
            <w:r w:rsidR="00F64D66">
              <w:rPr>
                <w:rFonts w:asciiTheme="minorHAnsi" w:hAnsiTheme="minorHAnsi" w:cstheme="minorHAnsi"/>
                <w:lang w:val="en-US"/>
              </w:rPr>
              <w:t>business models and concepts</w:t>
            </w:r>
            <w:r w:rsidRPr="00B63298">
              <w:rPr>
                <w:rFonts w:asciiTheme="minorHAnsi" w:hAnsiTheme="minorHAnsi" w:cstheme="minorHAnsi"/>
                <w:lang w:val="en-US"/>
              </w:rPr>
              <w:t>,</w:t>
            </w:r>
            <w:r w:rsidR="000941E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941E6">
              <w:rPr>
                <w:rFonts w:asciiTheme="minorHAnsi" w:hAnsiTheme="minorHAnsi" w:cstheme="minorHAnsi"/>
                <w:lang w:val="en-US"/>
              </w:rPr>
              <w:t xml:space="preserve">implementation of </w:t>
            </w:r>
            <w:r w:rsidR="00F64D66" w:rsidRPr="000941E6">
              <w:rPr>
                <w:rFonts w:asciiTheme="minorHAnsi" w:hAnsiTheme="minorHAnsi" w:cstheme="minorHAnsi"/>
                <w:lang w:val="en-US"/>
              </w:rPr>
              <w:t>business concepts in di</w:t>
            </w:r>
            <w:r w:rsidRPr="000941E6">
              <w:rPr>
                <w:rFonts w:asciiTheme="minorHAnsi" w:hAnsiTheme="minorHAnsi" w:cstheme="minorHAnsi"/>
                <w:lang w:val="en-US"/>
              </w:rPr>
              <w:t>fferent organization</w:t>
            </w:r>
            <w:r w:rsidR="000941E6">
              <w:rPr>
                <w:rFonts w:asciiTheme="minorHAnsi" w:hAnsiTheme="minorHAnsi" w:cstheme="minorHAnsi"/>
                <w:lang w:val="en-US"/>
              </w:rPr>
              <w:t xml:space="preserve">s, </w:t>
            </w:r>
            <w:r w:rsidR="00F64D66" w:rsidRPr="000941E6">
              <w:rPr>
                <w:rFonts w:asciiTheme="minorHAnsi" w:hAnsiTheme="minorHAnsi" w:cstheme="minorHAnsi"/>
                <w:lang w:val="en-US"/>
              </w:rPr>
              <w:t>environments</w:t>
            </w:r>
            <w:r w:rsidRPr="000941E6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21808934" w14:textId="77777777" w:rsidR="00B63298" w:rsidRPr="00B63298" w:rsidRDefault="002A5EB2" w:rsidP="008A6EEC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be able to identify </w:t>
            </w:r>
            <w:r w:rsidR="00F64D66">
              <w:rPr>
                <w:rFonts w:asciiTheme="minorHAnsi" w:hAnsiTheme="minorHAnsi" w:cstheme="minorHAnsi"/>
                <w:lang w:val="en-US"/>
              </w:rPr>
              <w:t xml:space="preserve">innovative business models </w:t>
            </w:r>
            <w:r>
              <w:rPr>
                <w:rFonts w:asciiTheme="minorHAnsi" w:hAnsiTheme="minorHAnsi" w:cstheme="minorHAnsi"/>
                <w:lang w:val="en-US"/>
              </w:rPr>
              <w:t>for</w:t>
            </w:r>
            <w:r w:rsidR="00F64D66">
              <w:rPr>
                <w:rFonts w:asciiTheme="minorHAnsi" w:hAnsiTheme="minorHAnsi" w:cstheme="minorHAnsi"/>
                <w:lang w:val="en-US"/>
              </w:rPr>
              <w:t xml:space="preserve"> designing sustainable logistics company operations</w:t>
            </w:r>
            <w:r w:rsidR="00B63298" w:rsidRPr="00B6329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5B1C4563" w14:textId="77777777" w:rsidR="00B63298" w:rsidRPr="00B63298" w:rsidRDefault="00B63298" w:rsidP="008A6EEC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63298">
              <w:rPr>
                <w:rFonts w:asciiTheme="minorHAnsi" w:hAnsiTheme="minorHAnsi" w:cstheme="minorHAnsi"/>
                <w:lang w:val="en-US"/>
              </w:rPr>
              <w:t xml:space="preserve">develop the ability to </w:t>
            </w:r>
            <w:r w:rsidR="00F64D66">
              <w:rPr>
                <w:rFonts w:asciiTheme="minorHAnsi" w:hAnsiTheme="minorHAnsi" w:cstheme="minorHAnsi"/>
                <w:lang w:val="en-US"/>
              </w:rPr>
              <w:t>understand organization from change management perspective</w:t>
            </w:r>
            <w:r w:rsidRPr="00B6329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669EDB54" w14:textId="77777777" w:rsidR="00B63298" w:rsidRPr="00B63298" w:rsidRDefault="002A5EB2" w:rsidP="008A6EEC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use eco-design tools in logistics</w:t>
            </w:r>
            <w:r w:rsidR="00B63298" w:rsidRPr="00B6329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775102B9" w14:textId="77777777" w:rsidR="00B63298" w:rsidRPr="000941E6" w:rsidRDefault="002A5EB2" w:rsidP="002A5EB2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analyze and</w:t>
            </w:r>
            <w:r w:rsidR="00B63298" w:rsidRPr="00B63298">
              <w:rPr>
                <w:rFonts w:asciiTheme="minorHAnsi" w:hAnsiTheme="minorHAnsi" w:cstheme="minorHAnsi"/>
                <w:lang w:val="en-US"/>
              </w:rPr>
              <w:t xml:space="preserve"> discuss</w:t>
            </w:r>
            <w:r w:rsidR="00F64D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63298" w:rsidRPr="00B63298">
              <w:rPr>
                <w:rFonts w:asciiTheme="minorHAnsi" w:hAnsiTheme="minorHAnsi" w:cstheme="minorHAnsi"/>
                <w:lang w:val="en-US"/>
              </w:rPr>
              <w:t>practical problems</w:t>
            </w:r>
            <w:r w:rsidR="001B59B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64D66">
              <w:rPr>
                <w:rFonts w:asciiTheme="minorHAnsi" w:hAnsiTheme="minorHAnsi" w:cstheme="minorHAnsi"/>
                <w:lang w:val="en-US"/>
              </w:rPr>
              <w:t>related to strate</w:t>
            </w:r>
            <w:r w:rsidR="000941E6">
              <w:rPr>
                <w:rFonts w:asciiTheme="minorHAnsi" w:hAnsiTheme="minorHAnsi" w:cstheme="minorHAnsi"/>
                <w:lang w:val="en-US"/>
              </w:rPr>
              <w:t>gic changes in logistics organiz</w:t>
            </w:r>
            <w:r w:rsidR="00F64D66">
              <w:rPr>
                <w:rFonts w:asciiTheme="minorHAnsi" w:hAnsiTheme="minorHAnsi" w:cstheme="minorHAnsi"/>
                <w:lang w:val="en-US"/>
              </w:rPr>
              <w:t>ations</w:t>
            </w:r>
            <w:r w:rsidR="00B63298" w:rsidRPr="001B59BD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667ED1" w:rsidRPr="0049183D" w14:paraId="2D8363FD" w14:textId="77777777" w:rsidTr="00147A0E">
        <w:tc>
          <w:tcPr>
            <w:tcW w:w="473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38D779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AF4973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59A18A6E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5488D02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B56408B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6F704E3" w14:textId="77777777" w:rsidR="00667ED1" w:rsidRPr="0049183D" w:rsidRDefault="00667ED1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8A1F0F" w:rsidRPr="00CE30CF" w14:paraId="7BE4CA76" w14:textId="77777777" w:rsidTr="00147A0E">
        <w:trPr>
          <w:trHeight w:val="20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D7D" w14:textId="77777777" w:rsidR="00CE30CF" w:rsidRPr="00CE30CF" w:rsidRDefault="00CE30CF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CE30CF">
              <w:rPr>
                <w:rFonts w:asciiTheme="minorHAnsi" w:hAnsiTheme="minorHAnsi"/>
              </w:rPr>
              <w:t>Predmet vključuje različne metode poučevanja in učenja, kot so: predavanja, diskusijske skupine, predstavite del, video predstavitve in filmi, primeri iz prakse, predstavitve študentov in samostojni študij študentov.</w:t>
            </w:r>
          </w:p>
          <w:p w14:paraId="1CCF6051" w14:textId="77777777" w:rsidR="00CE30CF" w:rsidRPr="00CE30CF" w:rsidRDefault="00CE30CF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E30CF">
              <w:rPr>
                <w:rFonts w:asciiTheme="minorHAns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5AAEB6FA" w14:textId="77777777" w:rsidR="00CE30CF" w:rsidRPr="00CE30CF" w:rsidRDefault="00CE30CF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7BAE6D75" w14:textId="77777777" w:rsidR="008A1F0F" w:rsidRPr="00CE30CF" w:rsidRDefault="00CE30CF" w:rsidP="008A6EEC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CE30CF">
              <w:rPr>
                <w:rFonts w:asciiTheme="minorHAnsi" w:hAnsiTheme="minorHAnsi"/>
              </w:rPr>
              <w:t xml:space="preserve">Vaje: pri vajah študent utrdi teoretično znanje in spozna aplikativne možnosti. </w:t>
            </w:r>
            <w:r w:rsidR="007A1ED6">
              <w:rPr>
                <w:rFonts w:asciiTheme="minorHAnsi" w:hAnsiTheme="minorHAnsi"/>
              </w:rPr>
              <w:t xml:space="preserve">Praktične strokovne ekskurzije v podjetja. </w:t>
            </w:r>
            <w:r w:rsidRPr="00CE30CF">
              <w:rPr>
                <w:rFonts w:asciiTheme="minorHAnsi" w:hAnsiTheme="minorHAnsi"/>
              </w:rPr>
              <w:t xml:space="preserve">Del vaj se izvaja na klasični način v predavalnici, del pa v obliki e-vaj (e-vaje se lahko izvajajo na videokonferenčni način ali s pomočjo posebej v ta namen didaktično </w:t>
            </w:r>
            <w:r w:rsidRPr="00CE30CF">
              <w:rPr>
                <w:rFonts w:asciiTheme="minorHAnsi" w:hAnsiTheme="minorHAnsi"/>
              </w:rPr>
              <w:lastRenderedPageBreak/>
              <w:t>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A1D22" w14:textId="77777777" w:rsidR="008A1F0F" w:rsidRPr="00CE30CF" w:rsidRDefault="008A1F0F" w:rsidP="008A6EEC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677" w14:textId="77777777" w:rsidR="00CE30CF" w:rsidRPr="00CE30CF" w:rsidRDefault="00CE30CF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CE30CF">
              <w:rPr>
                <w:rFonts w:asciiTheme="minorHAnsi" w:hAnsiTheme="minorHAnsi"/>
                <w:lang w:val="en-US"/>
              </w:rPr>
              <w:t>This course uses a range of teaching methods including lectures, discussion groups, videos and films, case studies, student presentation and independent study.</w:t>
            </w:r>
          </w:p>
          <w:p w14:paraId="73952978" w14:textId="77777777" w:rsidR="00CE30CF" w:rsidRPr="00CE30CF" w:rsidRDefault="00CE30CF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</w:p>
          <w:p w14:paraId="3C64E36B" w14:textId="77777777" w:rsidR="00CE30CF" w:rsidRPr="00CE30CF" w:rsidRDefault="00CE30CF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CE30CF">
              <w:rPr>
                <w:rFonts w:asciiTheme="minorHAnsi" w:hAnsiTheme="minorHAnsi"/>
                <w:lang w:val="en-GB"/>
              </w:rPr>
              <w:t>Lectures: Students understand the theoretical frameworks of the course. Part of the lecture course is held in standard classroom while the rest is in the form of e-learning (e-lectures may be given via video-conferencing or with the help of specially designed e-material in a virtual electronic learning environment).</w:t>
            </w:r>
          </w:p>
          <w:p w14:paraId="05755F69" w14:textId="77777777" w:rsidR="00CE30CF" w:rsidRPr="00CE30CF" w:rsidRDefault="00CE30CF" w:rsidP="008A6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02D9E2F7" w14:textId="77777777" w:rsidR="008A1F0F" w:rsidRPr="00CE30CF" w:rsidRDefault="00CE30CF" w:rsidP="008A6EEC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E30CF">
              <w:rPr>
                <w:rFonts w:asciiTheme="minorHAnsi" w:hAnsiTheme="minorHAnsi"/>
                <w:lang w:val="en-GB"/>
              </w:rPr>
              <w:t>Tutorials: Students enhance their theoretical knowledge and are able to apply it.</w:t>
            </w:r>
            <w:r w:rsidR="007A1ED6">
              <w:rPr>
                <w:rFonts w:asciiTheme="minorHAnsi" w:hAnsiTheme="minorHAnsi"/>
                <w:lang w:val="en-GB"/>
              </w:rPr>
              <w:t xml:space="preserve"> Excursions to companies.</w:t>
            </w:r>
            <w:r w:rsidRPr="00CE30CF">
              <w:rPr>
                <w:rFonts w:asciiTheme="minorHAnsi" w:hAnsiTheme="minorHAnsi"/>
                <w:lang w:val="en-GB"/>
              </w:rPr>
              <w:t xml:space="preserve"> Part of the seminar is in a classroom while the rest is in the form of e-learning (e-tutorials may be given via video-conferencing or with the help </w:t>
            </w:r>
            <w:r w:rsidRPr="00CE30CF">
              <w:rPr>
                <w:rFonts w:asciiTheme="minorHAnsi" w:hAnsiTheme="minorHAnsi"/>
                <w:lang w:val="en-GB"/>
              </w:rPr>
              <w:lastRenderedPageBreak/>
              <w:t>of specially designed e-material in a virtual electronic learning environment).</w:t>
            </w:r>
          </w:p>
        </w:tc>
      </w:tr>
      <w:tr w:rsidR="008A1F0F" w:rsidRPr="0049183D" w14:paraId="024477A1" w14:textId="77777777" w:rsidTr="00147A0E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7FB92" w14:textId="77777777" w:rsidR="008A1F0F" w:rsidRPr="0049183D" w:rsidRDefault="008A1F0F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5BACD67" w14:textId="77777777" w:rsidR="008A1F0F" w:rsidRDefault="008A1F0F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A66DF8E" w14:textId="77777777" w:rsidR="008A1F0F" w:rsidRPr="0049183D" w:rsidRDefault="008A1F0F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B1D14" w14:textId="77777777" w:rsidR="008A1F0F" w:rsidRDefault="008A1F0F" w:rsidP="008A6EEC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4B787F2" w14:textId="77777777" w:rsidR="008A1F0F" w:rsidRPr="0049183D" w:rsidRDefault="008A1F0F" w:rsidP="008A6EEC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FE7162C" w14:textId="77777777" w:rsidR="008A1F0F" w:rsidRPr="0049183D" w:rsidRDefault="008A1F0F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A65DB" w14:textId="77777777" w:rsidR="008A1F0F" w:rsidRPr="0049183D" w:rsidRDefault="008A1F0F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4327487" w14:textId="77777777" w:rsidR="008A1F0F" w:rsidRDefault="008A1F0F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EAD1D28" w14:textId="77777777" w:rsidR="008A1F0F" w:rsidRPr="0049183D" w:rsidRDefault="008A1F0F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8A1F0F" w:rsidRPr="0049183D" w14:paraId="2E92F1B0" w14:textId="77777777" w:rsidTr="00147A0E">
        <w:trPr>
          <w:trHeight w:val="1104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4C7" w14:textId="77777777" w:rsidR="00CE30CF" w:rsidRPr="00157343" w:rsidRDefault="00CE30CF" w:rsidP="00DF48A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157343">
              <w:rPr>
                <w:rFonts w:asciiTheme="minorHAnsi" w:hAnsiTheme="minorHAnsi"/>
              </w:rPr>
              <w:t>Opravljene obveznosti e-predavanj in e-vaj so pogoj za pristop k izpitu.</w:t>
            </w:r>
          </w:p>
          <w:p w14:paraId="09F9FCFF" w14:textId="77777777" w:rsidR="00CE30CF" w:rsidRPr="00CE30CF" w:rsidRDefault="00CE30CF" w:rsidP="00DF48A4">
            <w:pPr>
              <w:pStyle w:val="Odstavekseznama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/>
              </w:rPr>
            </w:pPr>
          </w:p>
          <w:p w14:paraId="566B7DAE" w14:textId="78724DDC" w:rsidR="007A1ED6" w:rsidRPr="007A1ED6" w:rsidRDefault="007A1ED6" w:rsidP="007A1ED6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</w:t>
            </w:r>
            <w:r w:rsidRPr="00157343">
              <w:rPr>
                <w:rFonts w:asciiTheme="minorHAnsi" w:hAnsiTheme="minorHAnsi"/>
              </w:rPr>
              <w:t>-predavanj</w:t>
            </w:r>
            <w:r>
              <w:rPr>
                <w:rFonts w:asciiTheme="minorHAnsi" w:hAnsiTheme="minorHAnsi"/>
              </w:rPr>
              <w:t>a</w:t>
            </w:r>
            <w:r w:rsidRPr="00157343">
              <w:rPr>
                <w:rFonts w:asciiTheme="minorHAnsi" w:hAnsiTheme="minorHAnsi"/>
              </w:rPr>
              <w:t xml:space="preserve"> in e-vaj</w:t>
            </w:r>
            <w:r>
              <w:rPr>
                <w:rFonts w:asciiTheme="minorHAnsi" w:hAnsiTheme="minorHAnsi"/>
              </w:rPr>
              <w:t>e</w:t>
            </w:r>
            <w:r w:rsidR="00147A0E">
              <w:rPr>
                <w:rFonts w:asciiTheme="minorHAnsi" w:hAnsiTheme="minorHAnsi"/>
              </w:rPr>
              <w:t>.</w:t>
            </w:r>
          </w:p>
          <w:p w14:paraId="74C15B24" w14:textId="5421DB52" w:rsidR="00CE30CF" w:rsidRPr="00157343" w:rsidRDefault="00685EA3" w:rsidP="00DF48A4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Projektna</w:t>
            </w:r>
            <w:r w:rsidR="009B0EB6">
              <w:rPr>
                <w:rFonts w:asciiTheme="minorHAnsi" w:hAnsiTheme="minorHAnsi"/>
              </w:rPr>
              <w:t xml:space="preserve"> </w:t>
            </w:r>
            <w:r w:rsidR="00CE30CF" w:rsidRPr="00157343">
              <w:rPr>
                <w:rFonts w:asciiTheme="minorHAnsi" w:hAnsiTheme="minorHAnsi"/>
              </w:rPr>
              <w:t>naloga</w:t>
            </w:r>
            <w:r w:rsidR="00147A0E">
              <w:rPr>
                <w:rFonts w:asciiTheme="minorHAnsi" w:hAnsiTheme="minorHAnsi"/>
              </w:rPr>
              <w:t>.</w:t>
            </w:r>
          </w:p>
          <w:p w14:paraId="38D2799A" w14:textId="77777777" w:rsidR="008A1F0F" w:rsidRPr="00CE30CF" w:rsidRDefault="00CE30CF" w:rsidP="00DF48A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157343">
              <w:rPr>
                <w:rFonts w:asciiTheme="minorHAnsi" w:hAnsiTheme="minorHAnsi"/>
              </w:rPr>
              <w:t>Končni pisni izpit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6CB" w14:textId="77777777" w:rsidR="00AE6D2E" w:rsidRDefault="00AE6D2E" w:rsidP="00DF48A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12301F63" w14:textId="77777777" w:rsidR="00AE6D2E" w:rsidRDefault="00AE6D2E" w:rsidP="00DF48A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5B30D355" w14:textId="77777777" w:rsidR="00AE6D2E" w:rsidRDefault="00AE6D2E" w:rsidP="00DF48A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7B2850D2" w14:textId="77777777" w:rsidR="008A1F0F" w:rsidRPr="00CE30CF" w:rsidRDefault="00DF48A4" w:rsidP="00DF48A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2</w:t>
            </w:r>
            <w:r w:rsidR="00CE30CF" w:rsidRPr="00CE30CF">
              <w:rPr>
                <w:rFonts w:eastAsia="Calibri" w:cs="Calibri"/>
                <w:lang w:eastAsia="sl-SI"/>
              </w:rPr>
              <w:t>0%</w:t>
            </w:r>
          </w:p>
          <w:p w14:paraId="54B18C89" w14:textId="77777777" w:rsidR="00CE30CF" w:rsidRDefault="00CE30CF" w:rsidP="00DF48A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20%</w:t>
            </w:r>
          </w:p>
          <w:p w14:paraId="3A69548A" w14:textId="77777777" w:rsidR="00CE30CF" w:rsidRPr="008A1F0F" w:rsidRDefault="00CE30CF" w:rsidP="00DF48A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60%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3C4" w14:textId="77777777" w:rsidR="00CE30CF" w:rsidRPr="00CE30CF" w:rsidRDefault="00CE30CF" w:rsidP="00DF48A4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CE30CF">
              <w:rPr>
                <w:rFonts w:asciiTheme="minorHAnsi" w:hAnsiTheme="minorHAnsi" w:cs="Calibri"/>
                <w:bCs/>
              </w:rPr>
              <w:t>Successful completion of e-lectures and e-tutorials is a prerequisite for entering the exam.</w:t>
            </w:r>
          </w:p>
          <w:p w14:paraId="3880AAE7" w14:textId="31E7AFEF" w:rsidR="00CE30CF" w:rsidRPr="009B0EB6" w:rsidRDefault="007A1ED6" w:rsidP="00DF48A4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</w:t>
            </w:r>
            <w:r w:rsidRPr="00CE30CF">
              <w:rPr>
                <w:rFonts w:asciiTheme="minorHAnsi" w:hAnsiTheme="minorHAnsi" w:cs="Calibri"/>
                <w:bCs/>
              </w:rPr>
              <w:t>-lectures and e-tutorials</w:t>
            </w:r>
            <w:r w:rsidR="00147A0E">
              <w:rPr>
                <w:rFonts w:asciiTheme="minorHAnsi" w:hAnsiTheme="minorHAnsi" w:cs="Calibri"/>
                <w:bCs/>
              </w:rPr>
              <w:t>.</w:t>
            </w:r>
          </w:p>
          <w:p w14:paraId="3B292DC5" w14:textId="205520D1" w:rsidR="00CE30CF" w:rsidRPr="00157343" w:rsidRDefault="00685EA3" w:rsidP="00DF48A4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Project</w:t>
            </w:r>
            <w:r w:rsidR="00147A0E">
              <w:rPr>
                <w:rFonts w:asciiTheme="minorHAnsi" w:hAnsiTheme="minorHAnsi"/>
                <w:lang w:val="en-US"/>
              </w:rPr>
              <w:t>.</w:t>
            </w:r>
          </w:p>
          <w:p w14:paraId="35CDADD7" w14:textId="7CD8C637" w:rsidR="008A1F0F" w:rsidRPr="00CE30CF" w:rsidRDefault="00CE30CF" w:rsidP="00DF48A4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157343">
              <w:rPr>
                <w:rFonts w:asciiTheme="minorHAnsi" w:hAnsiTheme="minorHAnsi"/>
                <w:lang w:val="en-US"/>
              </w:rPr>
              <w:t>Final written examination</w:t>
            </w:r>
            <w:r w:rsidR="00147A0E">
              <w:rPr>
                <w:rFonts w:asciiTheme="minorHAnsi" w:hAnsiTheme="minorHAnsi"/>
                <w:lang w:val="en-US"/>
              </w:rPr>
              <w:t>.</w:t>
            </w:r>
          </w:p>
        </w:tc>
      </w:tr>
    </w:tbl>
    <w:p w14:paraId="564ECBF2" w14:textId="77777777" w:rsidR="005A11E4" w:rsidRPr="0049183D" w:rsidRDefault="005A11E4" w:rsidP="008A6EEC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2CE31494" w14:textId="77777777" w:rsidTr="00BE704D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27F2E90B" w14:textId="77777777" w:rsidR="005A11E4" w:rsidRPr="0049183D" w:rsidRDefault="005A11E4" w:rsidP="008A6EE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BE704D" w:rsidRPr="00147A0E" w14:paraId="60CD0984" w14:textId="77777777" w:rsidTr="00603194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37B" w14:textId="77777777" w:rsidR="00DF48A4" w:rsidRPr="00147A0E" w:rsidRDefault="00DF48A4" w:rsidP="00147A0E">
            <w:pPr>
              <w:pStyle w:val="Navadensplet"/>
              <w:numPr>
                <w:ilvl w:val="0"/>
                <w:numId w:val="30"/>
              </w:numPr>
              <w:ind w:left="357" w:hanging="357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OBRECHT, Matevž, KNEZ, Matjaž, SZEGEDI, Zoltan, NICK, Gabor, LISEC, Andrej. Review of Industry 4.0 and forecasting its future within trends in logistics and development of legislation. Tér gazdaság ember, ISSN 2064-1176, 2017, vol. 5, no. 4, str. 59-70, ilustr. </w:t>
            </w:r>
            <w:hyperlink r:id="rId7" w:history="1">
              <w:r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http://kgk.sze.hu/images/dokumentumok/folyoirat/TGE_V_evf04_ok.pdf</w:t>
              </w:r>
            </w:hyperlink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 xml:space="preserve">. </w:t>
            </w:r>
          </w:p>
          <w:p w14:paraId="7658B49F" w14:textId="195EF7EE" w:rsidR="00DF48A4" w:rsidRPr="00147A0E" w:rsidRDefault="00DF48A4" w:rsidP="00147A0E">
            <w:pPr>
              <w:pStyle w:val="Navadensplet"/>
              <w:numPr>
                <w:ilvl w:val="0"/>
                <w:numId w:val="30"/>
              </w:numPr>
              <w:ind w:left="357" w:hanging="357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OBRECHT, Matevž, KNEZ, Matjaž. Carbon and resource savings of different cargo container designs. Journal of cleaner production, ISSN 1879-1786. [Online ed.], 1 Jul. 2017, vol. 155, 151-156 str. </w:t>
            </w:r>
            <w:hyperlink r:id="rId8" w:history="1">
              <w:r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https://doi.org/10.1016/j.jclepro.2016.11.076</w:t>
              </w:r>
            </w:hyperlink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, doi: </w:t>
            </w:r>
            <w:hyperlink r:id="rId9" w:tgtFrame="doi" w:history="1">
              <w:r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10.1016/j.jclepro.2016.11.076</w:t>
              </w:r>
            </w:hyperlink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 xml:space="preserve">. 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br/>
              <w:t>kategorija: 1A1 (Z, A'', A', A1/2); uvrstitev: Scopus (d), SCI, Scopus, MBP</w:t>
            </w:r>
            <w:r w:rsidR="00147A0E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14:paraId="441627C8" w14:textId="7CE2A52E" w:rsidR="009D5986" w:rsidRPr="00147A0E" w:rsidRDefault="009D5986" w:rsidP="00147A0E">
            <w:pPr>
              <w:pStyle w:val="Navadensplet"/>
              <w:numPr>
                <w:ilvl w:val="0"/>
                <w:numId w:val="30"/>
              </w:numPr>
              <w:ind w:left="357" w:hanging="357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Omahne V</w:t>
            </w:r>
            <w:r w:rsidR="00A20104" w:rsidRPr="00147A0E">
              <w:rPr>
                <w:rFonts w:asciiTheme="minorHAnsi" w:hAnsiTheme="minorHAnsi"/>
                <w:b w:val="0"/>
                <w:sz w:val="22"/>
                <w:szCs w:val="22"/>
              </w:rPr>
              <w:t>asja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, Knez</w:t>
            </w:r>
            <w:r w:rsidR="00A20104" w:rsidRPr="00147A0E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 xml:space="preserve"> M</w:t>
            </w:r>
            <w:r w:rsidR="00A20104" w:rsidRPr="00147A0E">
              <w:rPr>
                <w:rFonts w:asciiTheme="minorHAnsi" w:hAnsiTheme="minorHAnsi"/>
                <w:b w:val="0"/>
                <w:sz w:val="22"/>
                <w:szCs w:val="22"/>
              </w:rPr>
              <w:t>atjaz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, Obrecht</w:t>
            </w:r>
            <w:r w:rsidR="00A20104" w:rsidRPr="00147A0E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 xml:space="preserve"> M</w:t>
            </w:r>
            <w:r w:rsidR="00A20104" w:rsidRPr="00147A0E">
              <w:rPr>
                <w:rFonts w:asciiTheme="minorHAnsi" w:hAnsiTheme="minorHAnsi"/>
                <w:b w:val="0"/>
                <w:sz w:val="22"/>
                <w:szCs w:val="22"/>
              </w:rPr>
              <w:t>atevž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. Social Aspects of Electric Vehicles Research—Trends and Relations to Sustainable Development Goals. </w:t>
            </w:r>
            <w:r w:rsidRPr="00147A0E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World Electric Vehicle Journal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 xml:space="preserve">. 2021; 12(1):15. </w:t>
            </w:r>
            <w:hyperlink r:id="rId10" w:history="1">
              <w:r w:rsidR="00A20104"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https://doi.org/10.3390/wevj12010015</w:t>
              </w:r>
            </w:hyperlink>
            <w:r w:rsidR="00A20104" w:rsidRPr="00147A0E">
              <w:rPr>
                <w:rFonts w:asciiTheme="minorHAnsi" w:hAnsiTheme="minorHAnsi"/>
                <w:b w:val="0"/>
                <w:sz w:val="22"/>
                <w:szCs w:val="22"/>
              </w:rPr>
              <w:t xml:space="preserve"> uvrstitev: Scopus (d)</w:t>
            </w:r>
            <w:r w:rsidR="00147A0E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14:paraId="2100EC6A" w14:textId="620643C1" w:rsidR="00D27727" w:rsidRPr="00147A0E" w:rsidRDefault="00D27727" w:rsidP="00147A0E">
            <w:pPr>
              <w:pStyle w:val="Navadensplet"/>
              <w:numPr>
                <w:ilvl w:val="0"/>
                <w:numId w:val="30"/>
              </w:numPr>
              <w:ind w:left="357" w:hanging="357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KNEZ, Matjaž, JEREB, Borut, JADRAQUE GAGO, Eulalia, ROSAK-SZYROCKA, Joanna, OBRECHT, Matevž. Features influencing policy recommendations for the promotion of zero emission vehicles in Slovenia, Spain, and Poland. Clean technologies and environmental policy, ISSN 1618-9558. [Online ed.]. </w:t>
            </w:r>
            <w:hyperlink r:id="rId11" w:history="1">
              <w:r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https://doi.org/10.1007/s10098-020-01909-9</w:t>
              </w:r>
            </w:hyperlink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, doi: </w:t>
            </w:r>
            <w:hyperlink r:id="rId12" w:tgtFrame="doi" w:history="1">
              <w:r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10.1007/s10098-020-01909-9</w:t>
              </w:r>
            </w:hyperlink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br/>
              <w:t>kategorija: 1A2 (Z, A1/2); uvrstitev: SCI, Scopus, MBP</w:t>
            </w:r>
            <w:r w:rsidR="00147A0E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14:paraId="3B7A604C" w14:textId="773768F0" w:rsidR="00BE704D" w:rsidRPr="00147A0E" w:rsidRDefault="00D27727" w:rsidP="00147A0E">
            <w:pPr>
              <w:pStyle w:val="Navadensplet"/>
              <w:numPr>
                <w:ilvl w:val="0"/>
                <w:numId w:val="30"/>
              </w:numPr>
              <w:ind w:left="357" w:hanging="357"/>
              <w:jc w:val="both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FFFAF0"/>
              </w:rPr>
            </w:pP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KNEZ, Matjaž, KOŽELJ ZEVNIK, Gašper, OBRECHT, Matevž. A review of available chargers for electric vehicles. Renewable &amp; sustainable energy reviews : an international journal, ISSN 1364-0321. [Print ed.], Jul. 2019, vol. 109, str. 284-293, ilustr. </w:t>
            </w:r>
            <w:hyperlink r:id="rId13" w:history="1">
              <w:r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https://doi.org/10.1016/j.rser.2019.04.013</w:t>
              </w:r>
            </w:hyperlink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, doi: </w:t>
            </w:r>
            <w:hyperlink r:id="rId14" w:tgtFrame="doi" w:history="1">
              <w:r w:rsidRPr="00147A0E">
                <w:rPr>
                  <w:rFonts w:asciiTheme="minorHAnsi" w:hAnsiTheme="minorHAnsi"/>
                  <w:b w:val="0"/>
                  <w:sz w:val="22"/>
                  <w:szCs w:val="22"/>
                </w:rPr>
                <w:t>10.1016/j.rser.2019.04.013</w:t>
              </w:r>
            </w:hyperlink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. kategorija: 1A1 (Z, A'', A', A1/2); uvrstitev: SCI, Scopus, MBP; tip dela je verificiral OSICD</w:t>
            </w:r>
            <w:r w:rsidR="00147A0E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47A0E">
              <w:rPr>
                <w:rFonts w:asciiTheme="minorHAnsi" w:hAnsiTheme="minorHAnsi"/>
                <w:b w:val="0"/>
                <w:sz w:val="22"/>
                <w:szCs w:val="22"/>
              </w:rPr>
              <w:t>točke: 56.7, št. avtorjev: 3</w:t>
            </w:r>
            <w:r w:rsidR="00147A0E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</w:tr>
    </w:tbl>
    <w:p w14:paraId="34F2F8DA" w14:textId="77777777" w:rsidR="005A11E4" w:rsidRDefault="005A11E4" w:rsidP="008A6EEC">
      <w:pPr>
        <w:spacing w:after="0"/>
        <w:rPr>
          <w:rFonts w:asciiTheme="minorHAnsi" w:hAnsiTheme="minorHAnsi" w:cstheme="minorHAnsi"/>
          <w:b/>
        </w:rPr>
      </w:pPr>
    </w:p>
    <w:p w14:paraId="68418C40" w14:textId="77777777" w:rsidR="00F57C69" w:rsidRPr="00F57C69" w:rsidRDefault="00F57C69" w:rsidP="008A6EEC">
      <w:pPr>
        <w:pStyle w:val="Pripomba"/>
        <w:spacing w:after="0"/>
        <w:rPr>
          <w:color w:val="C00000"/>
        </w:rPr>
      </w:pPr>
    </w:p>
    <w:sectPr w:rsidR="00F57C69" w:rsidRPr="00F57C69" w:rsidSect="00276596">
      <w:footerReference w:type="defaul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674B" w14:textId="77777777" w:rsidR="005A7973" w:rsidRDefault="005A7973" w:rsidP="00703ADE">
      <w:pPr>
        <w:spacing w:after="0"/>
      </w:pPr>
      <w:r>
        <w:separator/>
      </w:r>
    </w:p>
  </w:endnote>
  <w:endnote w:type="continuationSeparator" w:id="0">
    <w:p w14:paraId="6E90875E" w14:textId="77777777" w:rsidR="005A7973" w:rsidRDefault="005A7973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6FA8" w14:textId="77777777" w:rsidR="00603194" w:rsidRPr="007564BD" w:rsidRDefault="00603194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57DF7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57DF7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50E9" w14:textId="77777777" w:rsidR="005A7973" w:rsidRDefault="005A7973" w:rsidP="00703ADE">
      <w:pPr>
        <w:spacing w:after="0"/>
      </w:pPr>
      <w:r>
        <w:separator/>
      </w:r>
    </w:p>
  </w:footnote>
  <w:footnote w:type="continuationSeparator" w:id="0">
    <w:p w14:paraId="19C9275C" w14:textId="77777777" w:rsidR="005A7973" w:rsidRDefault="005A7973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4A5"/>
    <w:multiLevelType w:val="hybridMultilevel"/>
    <w:tmpl w:val="9C1EAD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15C1B"/>
    <w:multiLevelType w:val="hybridMultilevel"/>
    <w:tmpl w:val="9C6C4204"/>
    <w:lvl w:ilvl="0" w:tplc="042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7347928"/>
    <w:multiLevelType w:val="hybridMultilevel"/>
    <w:tmpl w:val="B2E23B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5CA7"/>
    <w:multiLevelType w:val="hybridMultilevel"/>
    <w:tmpl w:val="1CBE1A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C7A82"/>
    <w:multiLevelType w:val="hybridMultilevel"/>
    <w:tmpl w:val="499C58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1EC7"/>
    <w:multiLevelType w:val="hybridMultilevel"/>
    <w:tmpl w:val="4560CF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F628F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40BE9"/>
    <w:multiLevelType w:val="hybridMultilevel"/>
    <w:tmpl w:val="72FEE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7471F"/>
    <w:multiLevelType w:val="hybridMultilevel"/>
    <w:tmpl w:val="7B2A76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1963"/>
    <w:multiLevelType w:val="hybridMultilevel"/>
    <w:tmpl w:val="4156DD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F77EF"/>
    <w:multiLevelType w:val="hybridMultilevel"/>
    <w:tmpl w:val="03564E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B39CC"/>
    <w:multiLevelType w:val="hybridMultilevel"/>
    <w:tmpl w:val="286059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B5160"/>
    <w:multiLevelType w:val="hybridMultilevel"/>
    <w:tmpl w:val="4C34B5B0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6414295"/>
    <w:multiLevelType w:val="hybridMultilevel"/>
    <w:tmpl w:val="318EA4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75D32"/>
    <w:multiLevelType w:val="hybridMultilevel"/>
    <w:tmpl w:val="0CACA1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9783D"/>
    <w:multiLevelType w:val="hybridMultilevel"/>
    <w:tmpl w:val="FCAC1A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25267"/>
    <w:multiLevelType w:val="hybridMultilevel"/>
    <w:tmpl w:val="97F6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F79A9"/>
    <w:multiLevelType w:val="hybridMultilevel"/>
    <w:tmpl w:val="6DBE8A4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4778F"/>
    <w:multiLevelType w:val="hybridMultilevel"/>
    <w:tmpl w:val="947AA1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B7ACD"/>
    <w:multiLevelType w:val="hybridMultilevel"/>
    <w:tmpl w:val="8690C6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93BC7"/>
    <w:multiLevelType w:val="hybridMultilevel"/>
    <w:tmpl w:val="D130B8C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391668"/>
    <w:multiLevelType w:val="hybridMultilevel"/>
    <w:tmpl w:val="DF1E2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1B36"/>
    <w:multiLevelType w:val="hybridMultilevel"/>
    <w:tmpl w:val="37203B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E00BF"/>
    <w:multiLevelType w:val="hybridMultilevel"/>
    <w:tmpl w:val="9D7C45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4A0AF2"/>
    <w:multiLevelType w:val="hybridMultilevel"/>
    <w:tmpl w:val="0EFAEA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34A14"/>
    <w:multiLevelType w:val="hybridMultilevel"/>
    <w:tmpl w:val="5BD2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50E99"/>
    <w:multiLevelType w:val="hybridMultilevel"/>
    <w:tmpl w:val="4E02F3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7535C9"/>
    <w:multiLevelType w:val="hybridMultilevel"/>
    <w:tmpl w:val="28906A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E0EA3"/>
    <w:multiLevelType w:val="hybridMultilevel"/>
    <w:tmpl w:val="16922CE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07CC2"/>
    <w:multiLevelType w:val="hybridMultilevel"/>
    <w:tmpl w:val="CEFC2B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025D7"/>
    <w:multiLevelType w:val="hybridMultilevel"/>
    <w:tmpl w:val="DB8E9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986B2B"/>
    <w:multiLevelType w:val="hybridMultilevel"/>
    <w:tmpl w:val="29028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B73B02"/>
    <w:multiLevelType w:val="hybridMultilevel"/>
    <w:tmpl w:val="D3C267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13FBB"/>
    <w:multiLevelType w:val="hybridMultilevel"/>
    <w:tmpl w:val="5D7488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06321"/>
    <w:multiLevelType w:val="hybridMultilevel"/>
    <w:tmpl w:val="6C322B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7"/>
  </w:num>
  <w:num w:numId="5">
    <w:abstractNumId w:val="28"/>
  </w:num>
  <w:num w:numId="6">
    <w:abstractNumId w:val="17"/>
  </w:num>
  <w:num w:numId="7">
    <w:abstractNumId w:val="6"/>
  </w:num>
  <w:num w:numId="8">
    <w:abstractNumId w:val="22"/>
  </w:num>
  <w:num w:numId="9">
    <w:abstractNumId w:val="24"/>
  </w:num>
  <w:num w:numId="10">
    <w:abstractNumId w:val="27"/>
  </w:num>
  <w:num w:numId="11">
    <w:abstractNumId w:val="5"/>
  </w:num>
  <w:num w:numId="12">
    <w:abstractNumId w:val="29"/>
  </w:num>
  <w:num w:numId="13">
    <w:abstractNumId w:val="34"/>
  </w:num>
  <w:num w:numId="14">
    <w:abstractNumId w:val="23"/>
  </w:num>
  <w:num w:numId="15">
    <w:abstractNumId w:val="14"/>
  </w:num>
  <w:num w:numId="16">
    <w:abstractNumId w:val="0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10"/>
  </w:num>
  <w:num w:numId="22">
    <w:abstractNumId w:val="33"/>
  </w:num>
  <w:num w:numId="23">
    <w:abstractNumId w:val="26"/>
  </w:num>
  <w:num w:numId="24">
    <w:abstractNumId w:val="19"/>
  </w:num>
  <w:num w:numId="25">
    <w:abstractNumId w:val="32"/>
  </w:num>
  <w:num w:numId="26">
    <w:abstractNumId w:val="1"/>
  </w:num>
  <w:num w:numId="27">
    <w:abstractNumId w:val="20"/>
  </w:num>
  <w:num w:numId="28">
    <w:abstractNumId w:val="4"/>
  </w:num>
  <w:num w:numId="29">
    <w:abstractNumId w:val="21"/>
  </w:num>
  <w:num w:numId="30">
    <w:abstractNumId w:val="9"/>
  </w:num>
  <w:num w:numId="31">
    <w:abstractNumId w:val="31"/>
  </w:num>
  <w:num w:numId="32">
    <w:abstractNumId w:val="16"/>
  </w:num>
  <w:num w:numId="33">
    <w:abstractNumId w:val="25"/>
  </w:num>
  <w:num w:numId="34">
    <w:abstractNumId w:val="30"/>
  </w:num>
  <w:num w:numId="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tDQ3MTA2NjcxNTRS0lEKTi0uzszPAykwrwUAMk8yaiwAAAA="/>
  </w:docVars>
  <w:rsids>
    <w:rsidRoot w:val="00703ADE"/>
    <w:rsid w:val="0002009C"/>
    <w:rsid w:val="00043862"/>
    <w:rsid w:val="00046B40"/>
    <w:rsid w:val="00053C25"/>
    <w:rsid w:val="000625CC"/>
    <w:rsid w:val="00067866"/>
    <w:rsid w:val="000761B7"/>
    <w:rsid w:val="0009073D"/>
    <w:rsid w:val="000941E6"/>
    <w:rsid w:val="0009636B"/>
    <w:rsid w:val="000A19DD"/>
    <w:rsid w:val="000B0A40"/>
    <w:rsid w:val="000B587A"/>
    <w:rsid w:val="000B67E3"/>
    <w:rsid w:val="000B6A23"/>
    <w:rsid w:val="000C60CF"/>
    <w:rsid w:val="000E7D4E"/>
    <w:rsid w:val="000F1B74"/>
    <w:rsid w:val="000F40D2"/>
    <w:rsid w:val="000F6746"/>
    <w:rsid w:val="00103E49"/>
    <w:rsid w:val="0010411B"/>
    <w:rsid w:val="001101ED"/>
    <w:rsid w:val="001213B9"/>
    <w:rsid w:val="00132A95"/>
    <w:rsid w:val="00135DE0"/>
    <w:rsid w:val="00147A0E"/>
    <w:rsid w:val="00157001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B59BD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675F4"/>
    <w:rsid w:val="00273DDF"/>
    <w:rsid w:val="00276596"/>
    <w:rsid w:val="0027778B"/>
    <w:rsid w:val="002805E7"/>
    <w:rsid w:val="0028075A"/>
    <w:rsid w:val="00292898"/>
    <w:rsid w:val="002A5EB2"/>
    <w:rsid w:val="002B19A5"/>
    <w:rsid w:val="002B452B"/>
    <w:rsid w:val="002B5B44"/>
    <w:rsid w:val="002B668D"/>
    <w:rsid w:val="002C2E5E"/>
    <w:rsid w:val="002C44F3"/>
    <w:rsid w:val="002C7D0D"/>
    <w:rsid w:val="002F418C"/>
    <w:rsid w:val="002F465F"/>
    <w:rsid w:val="003032D1"/>
    <w:rsid w:val="003037B1"/>
    <w:rsid w:val="003168D8"/>
    <w:rsid w:val="00317A91"/>
    <w:rsid w:val="00324BE4"/>
    <w:rsid w:val="0033062E"/>
    <w:rsid w:val="00332EA1"/>
    <w:rsid w:val="00334FD5"/>
    <w:rsid w:val="00341880"/>
    <w:rsid w:val="00344834"/>
    <w:rsid w:val="003463F9"/>
    <w:rsid w:val="00351624"/>
    <w:rsid w:val="00355450"/>
    <w:rsid w:val="00355781"/>
    <w:rsid w:val="00357DF7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068E"/>
    <w:rsid w:val="003D48E5"/>
    <w:rsid w:val="003D6370"/>
    <w:rsid w:val="003E5DCF"/>
    <w:rsid w:val="003F0EA3"/>
    <w:rsid w:val="003F667E"/>
    <w:rsid w:val="0040317F"/>
    <w:rsid w:val="0040670E"/>
    <w:rsid w:val="004203B7"/>
    <w:rsid w:val="004246C2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3EBC"/>
    <w:rsid w:val="004A4DF3"/>
    <w:rsid w:val="004A69AF"/>
    <w:rsid w:val="004B3297"/>
    <w:rsid w:val="004B41A0"/>
    <w:rsid w:val="004B54C6"/>
    <w:rsid w:val="004B7170"/>
    <w:rsid w:val="004C039F"/>
    <w:rsid w:val="004C1D5D"/>
    <w:rsid w:val="004C28F8"/>
    <w:rsid w:val="004C66E8"/>
    <w:rsid w:val="004D11DE"/>
    <w:rsid w:val="004D6C32"/>
    <w:rsid w:val="004F4E9E"/>
    <w:rsid w:val="004F5050"/>
    <w:rsid w:val="00500DB6"/>
    <w:rsid w:val="005029C6"/>
    <w:rsid w:val="00514311"/>
    <w:rsid w:val="00525A19"/>
    <w:rsid w:val="00525BD5"/>
    <w:rsid w:val="00525C1D"/>
    <w:rsid w:val="005264B0"/>
    <w:rsid w:val="005600E9"/>
    <w:rsid w:val="00563340"/>
    <w:rsid w:val="005701F4"/>
    <w:rsid w:val="0057113C"/>
    <w:rsid w:val="0057190E"/>
    <w:rsid w:val="005745BC"/>
    <w:rsid w:val="00581E1B"/>
    <w:rsid w:val="00587381"/>
    <w:rsid w:val="00597F23"/>
    <w:rsid w:val="005A013D"/>
    <w:rsid w:val="005A11E4"/>
    <w:rsid w:val="005A5638"/>
    <w:rsid w:val="005A7973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3194"/>
    <w:rsid w:val="00606BB3"/>
    <w:rsid w:val="00612C50"/>
    <w:rsid w:val="006135EC"/>
    <w:rsid w:val="0061471B"/>
    <w:rsid w:val="006261BD"/>
    <w:rsid w:val="00627C0D"/>
    <w:rsid w:val="00645458"/>
    <w:rsid w:val="00667ED1"/>
    <w:rsid w:val="0067410C"/>
    <w:rsid w:val="00682C60"/>
    <w:rsid w:val="00683B5F"/>
    <w:rsid w:val="00685B29"/>
    <w:rsid w:val="00685EA3"/>
    <w:rsid w:val="006863A2"/>
    <w:rsid w:val="0068792F"/>
    <w:rsid w:val="0069578E"/>
    <w:rsid w:val="00697296"/>
    <w:rsid w:val="006A20F0"/>
    <w:rsid w:val="006B5AC7"/>
    <w:rsid w:val="006C5005"/>
    <w:rsid w:val="006C734C"/>
    <w:rsid w:val="006D18B6"/>
    <w:rsid w:val="006E1095"/>
    <w:rsid w:val="006E6646"/>
    <w:rsid w:val="006E732F"/>
    <w:rsid w:val="006F2D77"/>
    <w:rsid w:val="007001C2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55CE7"/>
    <w:rsid w:val="0076751A"/>
    <w:rsid w:val="00771258"/>
    <w:rsid w:val="007839FE"/>
    <w:rsid w:val="00784B83"/>
    <w:rsid w:val="0078644D"/>
    <w:rsid w:val="00792301"/>
    <w:rsid w:val="0079494D"/>
    <w:rsid w:val="007A1ED6"/>
    <w:rsid w:val="007A28AA"/>
    <w:rsid w:val="007A29FA"/>
    <w:rsid w:val="007A77A3"/>
    <w:rsid w:val="007B0935"/>
    <w:rsid w:val="007C7DAA"/>
    <w:rsid w:val="007E49AE"/>
    <w:rsid w:val="007F2C61"/>
    <w:rsid w:val="007F658C"/>
    <w:rsid w:val="00802619"/>
    <w:rsid w:val="008102C2"/>
    <w:rsid w:val="00811EFC"/>
    <w:rsid w:val="00811FB5"/>
    <w:rsid w:val="008157D7"/>
    <w:rsid w:val="008320B1"/>
    <w:rsid w:val="00847982"/>
    <w:rsid w:val="00855585"/>
    <w:rsid w:val="00863826"/>
    <w:rsid w:val="00873A16"/>
    <w:rsid w:val="00873F0D"/>
    <w:rsid w:val="00874CA5"/>
    <w:rsid w:val="008A0A06"/>
    <w:rsid w:val="008A1F0F"/>
    <w:rsid w:val="008A6780"/>
    <w:rsid w:val="008A6EEC"/>
    <w:rsid w:val="008A7904"/>
    <w:rsid w:val="008B2370"/>
    <w:rsid w:val="008B76CA"/>
    <w:rsid w:val="008C735D"/>
    <w:rsid w:val="008C7A40"/>
    <w:rsid w:val="008D3A8F"/>
    <w:rsid w:val="00902E49"/>
    <w:rsid w:val="009044E0"/>
    <w:rsid w:val="009060E2"/>
    <w:rsid w:val="00910644"/>
    <w:rsid w:val="009106D1"/>
    <w:rsid w:val="00913A49"/>
    <w:rsid w:val="009200FE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A4E58"/>
    <w:rsid w:val="009B077A"/>
    <w:rsid w:val="009B0EB6"/>
    <w:rsid w:val="009B26AB"/>
    <w:rsid w:val="009B6584"/>
    <w:rsid w:val="009C276B"/>
    <w:rsid w:val="009D11AD"/>
    <w:rsid w:val="009D5986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0104"/>
    <w:rsid w:val="00A25CCF"/>
    <w:rsid w:val="00A340FC"/>
    <w:rsid w:val="00A34B64"/>
    <w:rsid w:val="00A47212"/>
    <w:rsid w:val="00A52D9A"/>
    <w:rsid w:val="00A5557A"/>
    <w:rsid w:val="00A56956"/>
    <w:rsid w:val="00A604B1"/>
    <w:rsid w:val="00A722F0"/>
    <w:rsid w:val="00A81452"/>
    <w:rsid w:val="00A83F5E"/>
    <w:rsid w:val="00A87467"/>
    <w:rsid w:val="00A87ADF"/>
    <w:rsid w:val="00A87CC4"/>
    <w:rsid w:val="00AB2FE0"/>
    <w:rsid w:val="00AC243A"/>
    <w:rsid w:val="00AC50D7"/>
    <w:rsid w:val="00AC7DE5"/>
    <w:rsid w:val="00AE6D2E"/>
    <w:rsid w:val="00AF382F"/>
    <w:rsid w:val="00B01725"/>
    <w:rsid w:val="00B05658"/>
    <w:rsid w:val="00B07275"/>
    <w:rsid w:val="00B07A68"/>
    <w:rsid w:val="00B32886"/>
    <w:rsid w:val="00B41FC2"/>
    <w:rsid w:val="00B44133"/>
    <w:rsid w:val="00B63298"/>
    <w:rsid w:val="00B63E7C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F0A49"/>
    <w:rsid w:val="00BF5A0E"/>
    <w:rsid w:val="00BF7B2D"/>
    <w:rsid w:val="00C06952"/>
    <w:rsid w:val="00C23384"/>
    <w:rsid w:val="00C26205"/>
    <w:rsid w:val="00C31227"/>
    <w:rsid w:val="00C35629"/>
    <w:rsid w:val="00C4086F"/>
    <w:rsid w:val="00C52A06"/>
    <w:rsid w:val="00C63A16"/>
    <w:rsid w:val="00C65B60"/>
    <w:rsid w:val="00C72B00"/>
    <w:rsid w:val="00C73CAE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CF6012"/>
    <w:rsid w:val="00D023A0"/>
    <w:rsid w:val="00D07034"/>
    <w:rsid w:val="00D1099E"/>
    <w:rsid w:val="00D12BC2"/>
    <w:rsid w:val="00D176A8"/>
    <w:rsid w:val="00D17CFB"/>
    <w:rsid w:val="00D216BD"/>
    <w:rsid w:val="00D235BA"/>
    <w:rsid w:val="00D27727"/>
    <w:rsid w:val="00D36EFF"/>
    <w:rsid w:val="00D37D33"/>
    <w:rsid w:val="00D4141E"/>
    <w:rsid w:val="00D56DEF"/>
    <w:rsid w:val="00D634CF"/>
    <w:rsid w:val="00D656E4"/>
    <w:rsid w:val="00D705F6"/>
    <w:rsid w:val="00D822FB"/>
    <w:rsid w:val="00D93134"/>
    <w:rsid w:val="00D94920"/>
    <w:rsid w:val="00DA3D92"/>
    <w:rsid w:val="00DB479E"/>
    <w:rsid w:val="00DC294C"/>
    <w:rsid w:val="00DD03F7"/>
    <w:rsid w:val="00DF0B31"/>
    <w:rsid w:val="00DF48A4"/>
    <w:rsid w:val="00E03C39"/>
    <w:rsid w:val="00E06FE4"/>
    <w:rsid w:val="00E12B7D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864BA"/>
    <w:rsid w:val="00E919CA"/>
    <w:rsid w:val="00E92DCC"/>
    <w:rsid w:val="00E935CE"/>
    <w:rsid w:val="00EB01E5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64D66"/>
    <w:rsid w:val="00F734B4"/>
    <w:rsid w:val="00F734DA"/>
    <w:rsid w:val="00F74CD5"/>
    <w:rsid w:val="00F84B8D"/>
    <w:rsid w:val="00FA00CC"/>
    <w:rsid w:val="00FA10EF"/>
    <w:rsid w:val="00FA2FAA"/>
    <w:rsid w:val="00FA7685"/>
    <w:rsid w:val="00FA7E0F"/>
    <w:rsid w:val="00FB7865"/>
    <w:rsid w:val="00FC4F71"/>
    <w:rsid w:val="00FC6252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A96E5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2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uiPriority w:val="99"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semiHidden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character" w:styleId="Poudarek">
    <w:name w:val="Emphasis"/>
    <w:basedOn w:val="Privzetapisavaodstavka"/>
    <w:uiPriority w:val="20"/>
    <w:qFormat/>
    <w:rsid w:val="009D5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clepro.2016.11.076" TargetMode="External"/><Relationship Id="rId13" Type="http://schemas.openxmlformats.org/officeDocument/2006/relationships/hyperlink" Target="https://doi.org/10.1016/j.rser.2019.04.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gk.sze.hu/images/dokumentumok/folyoirat/TGE_V_evf04_ok.pdf" TargetMode="External"/><Relationship Id="rId12" Type="http://schemas.openxmlformats.org/officeDocument/2006/relationships/hyperlink" Target="https://doi.org/10.1007/s10098-020-01909-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0098-020-01909-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3390/wevj1201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clepro.2016.11.076" TargetMode="External"/><Relationship Id="rId14" Type="http://schemas.openxmlformats.org/officeDocument/2006/relationships/hyperlink" Target="https://doi.org/10.1016/j.rser.2019.04.0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2019-01-30T13:00:00Z</cp:lastPrinted>
  <dcterms:created xsi:type="dcterms:W3CDTF">2024-01-23T09:52:00Z</dcterms:created>
  <dcterms:modified xsi:type="dcterms:W3CDTF">2024-08-22T10:45:00Z</dcterms:modified>
</cp:coreProperties>
</file>