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398"/>
        <w:gridCol w:w="386"/>
        <w:gridCol w:w="496"/>
        <w:gridCol w:w="519"/>
        <w:gridCol w:w="472"/>
        <w:gridCol w:w="141"/>
        <w:gridCol w:w="213"/>
        <w:gridCol w:w="352"/>
        <w:gridCol w:w="144"/>
        <w:gridCol w:w="319"/>
        <w:gridCol w:w="510"/>
        <w:gridCol w:w="152"/>
        <w:gridCol w:w="748"/>
        <w:gridCol w:w="80"/>
        <w:gridCol w:w="984"/>
        <w:gridCol w:w="345"/>
        <w:gridCol w:w="1204"/>
        <w:gridCol w:w="205"/>
        <w:gridCol w:w="132"/>
        <w:gridCol w:w="1123"/>
      </w:tblGrid>
      <w:tr w:rsidR="005A11E4" w:rsidRPr="0049183D" w14:paraId="605D34DD" w14:textId="77777777" w:rsidTr="00E60441">
        <w:tc>
          <w:tcPr>
            <w:tcW w:w="99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1AB34D" w14:textId="3AB34275" w:rsidR="005A11E4" w:rsidRPr="0049183D" w:rsidRDefault="005A11E4" w:rsidP="004A33B9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>
              <w:rPr>
                <w:rFonts w:eastAsia="Calibri" w:cs="Calibri"/>
                <w:b/>
                <w:lang w:eastAsia="sl-SI"/>
              </w:rPr>
              <w:t>PREDMETA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 / </w:t>
            </w:r>
            <w:r w:rsidR="004A33B9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9E1DB7" w:rsidRPr="0049183D" w14:paraId="36413FBF" w14:textId="77777777" w:rsidTr="00E60441">
        <w:tc>
          <w:tcPr>
            <w:tcW w:w="1797" w:type="dxa"/>
            <w:gridSpan w:val="2"/>
          </w:tcPr>
          <w:p w14:paraId="72C1DC59" w14:textId="77777777" w:rsidR="009E1DB7" w:rsidRPr="0049183D" w:rsidRDefault="009E1DB7" w:rsidP="009E1DB7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Ime p</w:t>
            </w:r>
            <w:r w:rsidRPr="0049183D">
              <w:rPr>
                <w:rFonts w:eastAsia="Calibri" w:cs="Calibri"/>
                <w:b/>
                <w:lang w:eastAsia="sl-SI"/>
              </w:rPr>
              <w:t>redmet</w:t>
            </w:r>
            <w:r>
              <w:rPr>
                <w:rFonts w:eastAsia="Calibri" w:cs="Calibri"/>
                <w:b/>
                <w:lang w:eastAsia="sl-SI"/>
              </w:rPr>
              <w:t>a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81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8E9" w14:textId="7674C6F9" w:rsidR="009E1DB7" w:rsidRPr="00E60441" w:rsidRDefault="001308AB" w:rsidP="009E1DB7">
            <w:pPr>
              <w:spacing w:after="0"/>
              <w:rPr>
                <w:rFonts w:eastAsia="Calibri" w:cs="Arial"/>
                <w:bCs/>
                <w:lang w:eastAsia="sl-SI"/>
              </w:rPr>
            </w:pPr>
            <w:r w:rsidRPr="00E60441">
              <w:rPr>
                <w:rFonts w:asciiTheme="minorHAnsi" w:hAnsiTheme="minorHAnsi" w:cstheme="minorHAnsi"/>
                <w:bCs/>
              </w:rPr>
              <w:t xml:space="preserve"> </w:t>
            </w:r>
            <w:r w:rsidRPr="00E60441">
              <w:rPr>
                <w:rFonts w:eastAsia="Calibri" w:cs="Arial"/>
                <w:bCs/>
                <w:lang w:eastAsia="sl-SI"/>
              </w:rPr>
              <w:t>TEHNOLOŠKA PODPORA V MOBILNOSTNIH SISTEMIH</w:t>
            </w:r>
          </w:p>
        </w:tc>
      </w:tr>
      <w:tr w:rsidR="009E1DB7" w:rsidRPr="0049183D" w14:paraId="12BB578E" w14:textId="77777777" w:rsidTr="00E60441">
        <w:tc>
          <w:tcPr>
            <w:tcW w:w="1797" w:type="dxa"/>
            <w:gridSpan w:val="2"/>
          </w:tcPr>
          <w:p w14:paraId="003758B5" w14:textId="77777777" w:rsidR="009E1DB7" w:rsidRPr="0049183D" w:rsidRDefault="009E1DB7" w:rsidP="009E1DB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81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4D2" w14:textId="79023CB5" w:rsidR="009E1DB7" w:rsidRPr="00E60441" w:rsidRDefault="001308AB" w:rsidP="009E1DB7">
            <w:pPr>
              <w:spacing w:after="0"/>
              <w:rPr>
                <w:rFonts w:eastAsia="Calibri" w:cs="Arial"/>
                <w:bCs/>
                <w:lang w:eastAsia="sl-SI"/>
              </w:rPr>
            </w:pPr>
            <w:r w:rsidRPr="00E60441">
              <w:rPr>
                <w:rFonts w:asciiTheme="minorHAnsi" w:hAnsiTheme="minorHAnsi" w:cstheme="minorHAnsi"/>
                <w:bCs/>
              </w:rPr>
              <w:t xml:space="preserve"> </w:t>
            </w:r>
            <w:r w:rsidRPr="00E60441">
              <w:rPr>
                <w:rFonts w:asciiTheme="minorHAnsi" w:hAnsiTheme="minorHAnsi" w:cstheme="minorHAnsi"/>
                <w:bCs/>
                <w:lang w:val="en" w:eastAsia="sl-SI"/>
              </w:rPr>
              <w:t>TECHNOLOGICAL SUPPORT IN MOBILITY SYSTEMS</w:t>
            </w:r>
          </w:p>
        </w:tc>
      </w:tr>
      <w:tr w:rsidR="005A11E4" w:rsidRPr="0049183D" w14:paraId="0BB44B80" w14:textId="77777777" w:rsidTr="00E60441">
        <w:tc>
          <w:tcPr>
            <w:tcW w:w="3433" w:type="dxa"/>
            <w:gridSpan w:val="6"/>
            <w:vAlign w:val="center"/>
          </w:tcPr>
          <w:p w14:paraId="381AAD9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522" w:type="dxa"/>
            <w:gridSpan w:val="9"/>
            <w:vAlign w:val="center"/>
          </w:tcPr>
          <w:p w14:paraId="72824CE0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CC111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2EB909A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5A11E4" w:rsidRPr="0049183D" w14:paraId="5EC26D3D" w14:textId="77777777" w:rsidTr="00E60441">
        <w:tc>
          <w:tcPr>
            <w:tcW w:w="34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11C55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7168B082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Study programme and </w:t>
            </w:r>
            <w:r>
              <w:rPr>
                <w:rFonts w:eastAsia="Calibri" w:cs="Calibri"/>
                <w:b/>
                <w:lang w:eastAsia="sl-SI"/>
              </w:rPr>
              <w:t>cycle</w:t>
            </w:r>
          </w:p>
        </w:tc>
        <w:tc>
          <w:tcPr>
            <w:tcW w:w="352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85DF1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6B48C3F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Study </w:t>
            </w:r>
            <w:r>
              <w:rPr>
                <w:rFonts w:eastAsia="Calibri" w:cs="Calibri"/>
                <w:b/>
                <w:lang w:eastAsia="sl-SI"/>
              </w:rPr>
              <w:t>option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387C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Letnik</w:t>
            </w:r>
          </w:p>
          <w:p w14:paraId="73CD4A4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7E70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Semester</w:t>
            </w:r>
          </w:p>
          <w:p w14:paraId="3556D1FB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667ED1" w:rsidRPr="0049183D" w14:paraId="23FFFBED" w14:textId="77777777" w:rsidTr="00E60441">
        <w:trPr>
          <w:trHeight w:val="318"/>
        </w:trPr>
        <w:tc>
          <w:tcPr>
            <w:tcW w:w="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9BF1" w14:textId="4A92877F" w:rsidR="00667ED1" w:rsidRPr="0049183D" w:rsidRDefault="00667ED1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8C4131">
              <w:rPr>
                <w:rFonts w:asciiTheme="minorHAnsi" w:hAnsiTheme="minorHAnsi" w:cstheme="minorHAnsi"/>
                <w:bCs/>
              </w:rPr>
              <w:t>LOGISTIKA SISTEMOV 2.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8C4131">
              <w:rPr>
                <w:rFonts w:asciiTheme="minorHAnsi" w:hAnsiTheme="minorHAnsi" w:cstheme="minorHAnsi"/>
                <w:bCs/>
              </w:rPr>
              <w:t>stopnja</w:t>
            </w:r>
          </w:p>
        </w:tc>
        <w:tc>
          <w:tcPr>
            <w:tcW w:w="3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422" w14:textId="77777777" w:rsidR="00667ED1" w:rsidRPr="0049183D" w:rsidRDefault="00667ED1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8A8" w14:textId="6EE47F3B" w:rsidR="00667ED1" w:rsidRPr="0049183D" w:rsidRDefault="00072F0F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  <w:r w:rsidR="00667ED1" w:rsidRPr="008C4131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DC0E" w14:textId="0E10AEBD" w:rsidR="00667ED1" w:rsidRPr="0049183D" w:rsidRDefault="00F315AC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  <w:r w:rsidR="00667ED1" w:rsidRPr="008C4131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667ED1" w:rsidRPr="0049183D" w14:paraId="4AE235F2" w14:textId="77777777" w:rsidTr="00E60441">
        <w:trPr>
          <w:trHeight w:val="318"/>
        </w:trPr>
        <w:tc>
          <w:tcPr>
            <w:tcW w:w="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69DF" w14:textId="66D0CC36" w:rsidR="00667ED1" w:rsidRPr="0049183D" w:rsidRDefault="00667ED1" w:rsidP="00667ED1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8C4131">
              <w:rPr>
                <w:rFonts w:asciiTheme="minorHAnsi" w:hAnsiTheme="minorHAnsi" w:cstheme="minorHAnsi"/>
                <w:bCs/>
              </w:rPr>
              <w:t xml:space="preserve">SYSTEM LOGISTICS </w:t>
            </w:r>
            <w:r w:rsidRPr="008C4131">
              <w:rPr>
                <w:rFonts w:asciiTheme="minorHAnsi" w:hAnsiTheme="minorHAnsi" w:cstheme="minorHAnsi"/>
              </w:rPr>
              <w:t xml:space="preserve"> </w:t>
            </w:r>
            <w:r w:rsidRPr="008C4131">
              <w:rPr>
                <w:rFonts w:asciiTheme="minorHAnsi" w:hAnsiTheme="minorHAnsi" w:cstheme="minorHAnsi"/>
                <w:bCs/>
              </w:rPr>
              <w:t>2</w:t>
            </w:r>
            <w:r w:rsidRPr="008C4131">
              <w:rPr>
                <w:rFonts w:asciiTheme="minorHAnsi" w:hAnsiTheme="minorHAnsi" w:cstheme="minorHAnsi"/>
                <w:bCs/>
                <w:vertAlign w:val="superscript"/>
              </w:rPr>
              <w:t xml:space="preserve">nd </w:t>
            </w:r>
            <w:r w:rsidRPr="008C4131">
              <w:rPr>
                <w:rFonts w:asciiTheme="minorHAnsi" w:hAnsiTheme="minorHAnsi" w:cstheme="minorHAnsi"/>
                <w:bCs/>
              </w:rPr>
              <w:t>degree</w:t>
            </w:r>
          </w:p>
        </w:tc>
        <w:tc>
          <w:tcPr>
            <w:tcW w:w="3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6163" w14:textId="77777777" w:rsidR="00667ED1" w:rsidRPr="0049183D" w:rsidRDefault="00667ED1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07C" w14:textId="7E187EE4" w:rsidR="00667ED1" w:rsidRPr="0049183D" w:rsidRDefault="00072F0F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  <w:r w:rsidR="00667ED1" w:rsidRPr="008C4131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D65" w14:textId="2DF5C584" w:rsidR="00667ED1" w:rsidRPr="0049183D" w:rsidRDefault="00F315AC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  <w:r w:rsidR="00667ED1" w:rsidRPr="008C4131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5A11E4" w:rsidRPr="0049183D" w14:paraId="1E148366" w14:textId="77777777" w:rsidTr="00E60441">
        <w:trPr>
          <w:trHeight w:val="103"/>
        </w:trPr>
        <w:tc>
          <w:tcPr>
            <w:tcW w:w="9923" w:type="dxa"/>
            <w:gridSpan w:val="20"/>
          </w:tcPr>
          <w:p w14:paraId="633C5EFA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53363266" w14:textId="77777777" w:rsidTr="00E60441">
        <w:trPr>
          <w:trHeight w:val="270"/>
        </w:trPr>
        <w:tc>
          <w:tcPr>
            <w:tcW w:w="5965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01AD15" w14:textId="77777777" w:rsidR="005A11E4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Vrsta predmeta </w:t>
            </w:r>
            <w:r>
              <w:rPr>
                <w:rFonts w:eastAsia="Calibri" w:cs="Calibri"/>
                <w:b/>
                <w:lang w:eastAsia="sl-SI"/>
              </w:rPr>
              <w:t xml:space="preserve">(obvezni ali izbirni) 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/ </w:t>
            </w:r>
          </w:p>
          <w:p w14:paraId="1F59CDFB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Course type</w:t>
            </w:r>
            <w:r>
              <w:rPr>
                <w:rFonts w:eastAsia="Calibri" w:cs="Calibri"/>
                <w:b/>
                <w:lang w:eastAsia="sl-SI"/>
              </w:rPr>
              <w:t xml:space="preserve"> (compulsory or elective)</w:t>
            </w:r>
          </w:p>
        </w:tc>
        <w:tc>
          <w:tcPr>
            <w:tcW w:w="3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75F" w14:textId="462D1EE8" w:rsidR="005A11E4" w:rsidRPr="0049183D" w:rsidRDefault="00F315AC" w:rsidP="00B71733">
            <w:pPr>
              <w:spacing w:after="0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IZBIRNI</w:t>
            </w:r>
          </w:p>
        </w:tc>
      </w:tr>
      <w:tr w:rsidR="005A11E4" w:rsidRPr="0049183D" w14:paraId="6024E532" w14:textId="77777777" w:rsidTr="00E60441">
        <w:trPr>
          <w:trHeight w:val="270"/>
        </w:trPr>
        <w:tc>
          <w:tcPr>
            <w:tcW w:w="5965" w:type="dxa"/>
            <w:gridSpan w:val="14"/>
            <w:vMerge/>
            <w:tcBorders>
              <w:left w:val="nil"/>
              <w:bottom w:val="nil"/>
              <w:right w:val="single" w:sz="4" w:space="0" w:color="auto"/>
            </w:tcBorders>
          </w:tcPr>
          <w:p w14:paraId="6138598E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902" w14:textId="521A0213" w:rsidR="005A11E4" w:rsidRPr="001848D1" w:rsidRDefault="00F315AC" w:rsidP="00B71733">
            <w:pPr>
              <w:spacing w:after="0"/>
              <w:rPr>
                <w:rFonts w:eastAsia="Calibri" w:cs="Calibri"/>
                <w:lang w:val="en-GB" w:eastAsia="sl-SI"/>
              </w:rPr>
            </w:pPr>
            <w:r>
              <w:rPr>
                <w:rFonts w:eastAsia="Calibri" w:cs="Calibri"/>
                <w:lang w:val="en-GB" w:eastAsia="sl-SI"/>
              </w:rPr>
              <w:t>ELECTIVE</w:t>
            </w:r>
          </w:p>
        </w:tc>
      </w:tr>
      <w:tr w:rsidR="005A11E4" w:rsidRPr="0049183D" w14:paraId="6B1B7C32" w14:textId="77777777" w:rsidTr="00E60441">
        <w:tc>
          <w:tcPr>
            <w:tcW w:w="5965" w:type="dxa"/>
            <w:gridSpan w:val="14"/>
          </w:tcPr>
          <w:p w14:paraId="0279965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6605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5DB8E894" w14:textId="77777777" w:rsidTr="00E60441">
        <w:tc>
          <w:tcPr>
            <w:tcW w:w="5965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88BB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791" w14:textId="3DD811AE" w:rsidR="005A11E4" w:rsidRPr="0049183D" w:rsidRDefault="00667ED1" w:rsidP="00B71733">
            <w:pPr>
              <w:spacing w:after="0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MAG</w:t>
            </w:r>
          </w:p>
        </w:tc>
      </w:tr>
      <w:tr w:rsidR="005A11E4" w:rsidRPr="0049183D" w14:paraId="5FC48C48" w14:textId="77777777" w:rsidTr="00E60441">
        <w:tc>
          <w:tcPr>
            <w:tcW w:w="9923" w:type="dxa"/>
            <w:gridSpan w:val="20"/>
          </w:tcPr>
          <w:p w14:paraId="19BF6CFB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69EB4177" w14:textId="77777777" w:rsidTr="00E60441"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6A1B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Predavanja</w:t>
            </w:r>
          </w:p>
          <w:p w14:paraId="3AB6B11D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571E4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Seminar</w:t>
            </w:r>
          </w:p>
          <w:p w14:paraId="04DEEED4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6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CFAED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Vaje</w:t>
            </w:r>
          </w:p>
          <w:p w14:paraId="10B353FB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97DA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634655B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35CD2" w14:textId="77777777" w:rsidR="005A11E4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451CAA1F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74C30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4DF2C0F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Individ</w:t>
            </w:r>
            <w:r>
              <w:rPr>
                <w:rFonts w:eastAsia="Calibri" w:cs="Calibri"/>
                <w:b/>
                <w:lang w:eastAsia="sl-SI"/>
              </w:rPr>
              <w:t>ual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 work</w:t>
            </w:r>
          </w:p>
        </w:tc>
        <w:tc>
          <w:tcPr>
            <w:tcW w:w="132" w:type="dxa"/>
            <w:vAlign w:val="center"/>
          </w:tcPr>
          <w:p w14:paraId="74E21441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FEED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E60441" w:rsidRPr="0049183D" w14:paraId="6C3C0BA4" w14:textId="77777777" w:rsidTr="00E60441">
        <w:trPr>
          <w:trHeight w:val="31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094BC" w14:textId="65DFEE80" w:rsidR="00E60441" w:rsidRDefault="00E60441" w:rsidP="00667ED1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 e-P</w:t>
            </w:r>
          </w:p>
          <w:p w14:paraId="013B6061" w14:textId="5ACDA35A" w:rsidR="00E60441" w:rsidRPr="0049183D" w:rsidRDefault="00E60441" w:rsidP="00667ED1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 w:cstheme="minorHAnsi"/>
                <w:bCs/>
              </w:rPr>
              <w:t>20 a-P</w:t>
            </w:r>
            <w:r w:rsidRPr="0049183D">
              <w:rPr>
                <w:rFonts w:eastAsia="Calibri" w:cs="Calibri"/>
                <w:b/>
                <w:bCs/>
                <w:lang w:eastAsia="sl-SI"/>
              </w:rPr>
              <w:t xml:space="preserve"> 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D1D29" w14:textId="77777777" w:rsidR="00E60441" w:rsidRPr="0049183D" w:rsidRDefault="00E6044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A960" w14:textId="58AD0D02" w:rsidR="00E60441" w:rsidRPr="0049183D" w:rsidRDefault="00E6044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2BA5E" w14:textId="77777777" w:rsidR="00E60441" w:rsidRPr="0049183D" w:rsidRDefault="00E6044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4709B" w14:textId="77777777" w:rsidR="00E60441" w:rsidRPr="0049183D" w:rsidRDefault="00E6044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0B696" w14:textId="01D8EB55" w:rsidR="00E60441" w:rsidRPr="00667ED1" w:rsidRDefault="00E60441" w:rsidP="0010202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100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96EE3" w14:textId="77777777" w:rsidR="00E60441" w:rsidRPr="0049183D" w:rsidRDefault="00E6044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FBE81" w14:textId="79C8DB0A" w:rsidR="00E60441" w:rsidRPr="00667ED1" w:rsidRDefault="00E60441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6</w:t>
            </w:r>
          </w:p>
        </w:tc>
      </w:tr>
      <w:tr w:rsidR="00E60441" w:rsidRPr="0049183D" w14:paraId="33611488" w14:textId="77777777" w:rsidTr="00E60441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775EF" w14:textId="77777777" w:rsidR="00E60441" w:rsidRPr="0049183D" w:rsidRDefault="00E6044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42646" w14:textId="77777777" w:rsidR="00E60441" w:rsidRPr="0049183D" w:rsidRDefault="00E6044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28F1" w14:textId="5DB36AEC" w:rsidR="00E60441" w:rsidRPr="00A57D74" w:rsidRDefault="00E60441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AV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A1A2" w14:textId="59DEE3DE" w:rsidR="00E60441" w:rsidRPr="00A57D74" w:rsidRDefault="00E60441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EV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95E6" w14:textId="12911AE8" w:rsidR="00E60441" w:rsidRPr="00A57D74" w:rsidRDefault="00E60441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LV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5752" w14:textId="6B559BB7" w:rsidR="00E60441" w:rsidRPr="00A57D74" w:rsidRDefault="00E60441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RV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0C7EC" w14:textId="77777777" w:rsidR="00E60441" w:rsidRPr="0049183D" w:rsidRDefault="00E6044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2681F" w14:textId="77777777" w:rsidR="00E60441" w:rsidRPr="0049183D" w:rsidRDefault="00E6044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160BA" w14:textId="77777777" w:rsidR="00E60441" w:rsidRPr="0049183D" w:rsidRDefault="00E6044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895E2" w14:textId="77777777" w:rsidR="00E60441" w:rsidRPr="0049183D" w:rsidRDefault="00E6044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B08E6" w14:textId="77777777" w:rsidR="00E60441" w:rsidRPr="0049183D" w:rsidRDefault="00E6044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E60441" w:rsidRPr="0049183D" w14:paraId="3AFC1636" w14:textId="77777777" w:rsidTr="00E60441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8FE" w14:textId="77777777" w:rsidR="00E60441" w:rsidRPr="0049183D" w:rsidRDefault="00E6044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ABF8" w14:textId="77777777" w:rsidR="00E60441" w:rsidRPr="0049183D" w:rsidRDefault="00E6044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2E78" w14:textId="77777777" w:rsidR="00E60441" w:rsidRPr="00A57D74" w:rsidRDefault="00E60441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7BED" w14:textId="1D7C671C" w:rsidR="00E60441" w:rsidRPr="00A57D74" w:rsidRDefault="00E60441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15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EDC5" w14:textId="45FC62BC" w:rsidR="00E60441" w:rsidRPr="00A57D74" w:rsidRDefault="00E60441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25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D9D" w14:textId="3345BF99" w:rsidR="00E60441" w:rsidRPr="00A57D74" w:rsidRDefault="00E60441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6FC" w14:textId="77777777" w:rsidR="00E60441" w:rsidRPr="0049183D" w:rsidRDefault="00E6044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16B" w14:textId="77777777" w:rsidR="00E60441" w:rsidRPr="0049183D" w:rsidRDefault="00E6044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C0B1" w14:textId="77777777" w:rsidR="00E60441" w:rsidRPr="0049183D" w:rsidRDefault="00E6044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1055" w14:textId="77777777" w:rsidR="00E60441" w:rsidRPr="0049183D" w:rsidRDefault="00E6044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5209" w14:textId="77777777" w:rsidR="00E60441" w:rsidRPr="0049183D" w:rsidRDefault="00E60441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194853B" w14:textId="77777777" w:rsidTr="00E60441">
        <w:tc>
          <w:tcPr>
            <w:tcW w:w="9923" w:type="dxa"/>
            <w:gridSpan w:val="20"/>
          </w:tcPr>
          <w:p w14:paraId="73ECE184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95F6595" w14:textId="77777777" w:rsidTr="00E60441">
        <w:tc>
          <w:tcPr>
            <w:tcW w:w="3433" w:type="dxa"/>
            <w:gridSpan w:val="6"/>
          </w:tcPr>
          <w:p w14:paraId="19C80114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Nosilec predmeta / </w:t>
            </w:r>
            <w:r>
              <w:rPr>
                <w:rFonts w:eastAsia="Calibri" w:cs="Calibri"/>
                <w:b/>
                <w:lang w:eastAsia="sl-SI"/>
              </w:rPr>
              <w:t>Course coordinator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6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B2C" w14:textId="3D0A6BB3" w:rsidR="005A11E4" w:rsidRPr="0049183D" w:rsidRDefault="009E1DB7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DARJA TOPOLŠEK</w:t>
            </w:r>
          </w:p>
        </w:tc>
      </w:tr>
      <w:tr w:rsidR="005A11E4" w:rsidRPr="0049183D" w14:paraId="373ADDF1" w14:textId="77777777" w:rsidTr="00E60441">
        <w:tc>
          <w:tcPr>
            <w:tcW w:w="9923" w:type="dxa"/>
            <w:gridSpan w:val="20"/>
          </w:tcPr>
          <w:p w14:paraId="0BC8F3BA" w14:textId="77777777" w:rsidR="005A11E4" w:rsidRPr="0049183D" w:rsidRDefault="005A11E4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667ED1" w:rsidRPr="0049183D" w14:paraId="2546E5AF" w14:textId="77777777" w:rsidTr="00E60441">
        <w:tc>
          <w:tcPr>
            <w:tcW w:w="2296" w:type="dxa"/>
            <w:gridSpan w:val="3"/>
            <w:vMerge w:val="restart"/>
          </w:tcPr>
          <w:p w14:paraId="6861494E" w14:textId="77777777" w:rsidR="00667ED1" w:rsidRPr="0049183D" w:rsidRDefault="00667ED1" w:rsidP="00667ED1">
            <w:pPr>
              <w:spacing w:after="0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675" w:type="dxa"/>
            <w:gridSpan w:val="8"/>
          </w:tcPr>
          <w:p w14:paraId="77461E9B" w14:textId="77777777" w:rsidR="00667ED1" w:rsidRPr="0049183D" w:rsidRDefault="00667ED1" w:rsidP="00667ED1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861" w14:textId="62C22135" w:rsidR="00667ED1" w:rsidRPr="0049183D" w:rsidRDefault="00667ED1" w:rsidP="00667ED1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8C4131">
              <w:rPr>
                <w:rFonts w:asciiTheme="minorHAnsi" w:hAnsiTheme="minorHAnsi" w:cstheme="minorHAnsi"/>
              </w:rPr>
              <w:t>SLOVENSKI/SLOVENE</w:t>
            </w:r>
          </w:p>
        </w:tc>
      </w:tr>
      <w:tr w:rsidR="00667ED1" w:rsidRPr="0049183D" w14:paraId="0712B376" w14:textId="77777777" w:rsidTr="00E60441">
        <w:trPr>
          <w:trHeight w:val="215"/>
        </w:trPr>
        <w:tc>
          <w:tcPr>
            <w:tcW w:w="2296" w:type="dxa"/>
            <w:gridSpan w:val="3"/>
            <w:vMerge/>
            <w:vAlign w:val="center"/>
          </w:tcPr>
          <w:p w14:paraId="2BE63940" w14:textId="77777777" w:rsidR="00667ED1" w:rsidRPr="0049183D" w:rsidRDefault="00667ED1" w:rsidP="00667ED1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675" w:type="dxa"/>
            <w:gridSpan w:val="8"/>
          </w:tcPr>
          <w:p w14:paraId="3A2F1B73" w14:textId="77777777" w:rsidR="00667ED1" w:rsidRPr="0049183D" w:rsidRDefault="00667ED1" w:rsidP="00667ED1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464" w14:textId="2C304F2D" w:rsidR="00667ED1" w:rsidRPr="0049183D" w:rsidRDefault="00667ED1" w:rsidP="00667ED1">
            <w:pPr>
              <w:spacing w:after="0"/>
              <w:jc w:val="both"/>
              <w:rPr>
                <w:rFonts w:eastAsia="Calibri"/>
                <w:lang w:eastAsia="sl-SI"/>
              </w:rPr>
            </w:pPr>
            <w:r>
              <w:rPr>
                <w:rFonts w:asciiTheme="minorHAnsi" w:hAnsiTheme="minorHAnsi" w:cstheme="minorHAnsi"/>
              </w:rPr>
              <w:t>SLOVENSKI</w:t>
            </w:r>
            <w:r w:rsidRPr="008C4131">
              <w:rPr>
                <w:rFonts w:asciiTheme="minorHAnsi" w:hAnsiTheme="minorHAnsi" w:cstheme="minorHAnsi"/>
              </w:rPr>
              <w:t>/SLOVENE</w:t>
            </w:r>
          </w:p>
        </w:tc>
      </w:tr>
      <w:tr w:rsidR="005A11E4" w:rsidRPr="0049183D" w14:paraId="0BB418C6" w14:textId="77777777" w:rsidTr="00E60441">
        <w:tc>
          <w:tcPr>
            <w:tcW w:w="49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B7541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624E3213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6CE3FFA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1D3BA6F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3E51B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98F9CD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Prerequisit</w:t>
            </w:r>
            <w:r>
              <w:rPr>
                <w:rFonts w:eastAsia="Calibri" w:cs="Calibri"/>
                <w:b/>
                <w:lang w:eastAsia="sl-SI"/>
              </w:rPr>
              <w:t>e</w:t>
            </w:r>
            <w:r w:rsidRPr="0049183D">
              <w:rPr>
                <w:rFonts w:eastAsia="Calibri" w:cs="Calibri"/>
                <w:b/>
                <w:lang w:eastAsia="sl-SI"/>
              </w:rPr>
              <w:t>s</w:t>
            </w:r>
            <w:r>
              <w:rPr>
                <w:rFonts w:eastAsia="Calibri" w:cs="Calibri"/>
                <w:b/>
                <w:lang w:eastAsia="sl-SI"/>
              </w:rPr>
              <w:t xml:space="preserve"> for enrolling in the course or for performing study obligations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B63298" w:rsidRPr="0049183D" w14:paraId="273ADA0E" w14:textId="77777777" w:rsidTr="00E60441">
        <w:trPr>
          <w:trHeight w:val="275"/>
        </w:trPr>
        <w:tc>
          <w:tcPr>
            <w:tcW w:w="4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BFD" w14:textId="289B8408" w:rsidR="00B63298" w:rsidRPr="0049183D" w:rsidRDefault="009112EA" w:rsidP="001C4698">
            <w:pPr>
              <w:spacing w:after="0"/>
              <w:rPr>
                <w:rFonts w:eastAsia="Calibri"/>
                <w:lang w:eastAsia="sl-SI"/>
              </w:rPr>
            </w:pPr>
            <w:r>
              <w:rPr>
                <w:rFonts w:asciiTheme="minorHAnsi" w:hAnsiTheme="minorHAnsi" w:cs="Calibri"/>
              </w:rPr>
              <w:t>Ni pogojev.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5F45" w14:textId="77777777" w:rsidR="00B63298" w:rsidRPr="0049183D" w:rsidRDefault="00B63298" w:rsidP="00B63298">
            <w:pPr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30C" w14:textId="7A76637D" w:rsidR="00B63298" w:rsidRPr="00F315AC" w:rsidRDefault="009112EA" w:rsidP="00B63298">
            <w:pPr>
              <w:spacing w:after="0"/>
              <w:rPr>
                <w:rFonts w:eastAsia="Calibri"/>
                <w:lang w:eastAsia="sl-SI"/>
              </w:rPr>
            </w:pPr>
            <w:r>
              <w:rPr>
                <w:rFonts w:asciiTheme="minorHAnsi" w:hAnsiTheme="minorHAnsi" w:cs="Calibri"/>
                <w:bCs/>
              </w:rPr>
              <w:t>None.</w:t>
            </w:r>
          </w:p>
        </w:tc>
      </w:tr>
      <w:tr w:rsidR="00B63298" w:rsidRPr="0049183D" w14:paraId="32638BBD" w14:textId="77777777" w:rsidTr="00E60441">
        <w:trPr>
          <w:trHeight w:val="137"/>
        </w:trPr>
        <w:tc>
          <w:tcPr>
            <w:tcW w:w="49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04A2" w14:textId="77777777" w:rsidR="00B63298" w:rsidRPr="0049183D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8DA8183" w14:textId="77777777" w:rsidR="00B63298" w:rsidRPr="0049183D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Vsebina</w:t>
            </w:r>
            <w:r>
              <w:rPr>
                <w:rFonts w:eastAsia="Calibri" w:cs="Calibri"/>
                <w:b/>
                <w:lang w:eastAsia="sl-SI"/>
              </w:rPr>
              <w:t xml:space="preserve"> (kratek pregled učnega načrta)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  <w:r w:rsidRPr="0049183D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</w:tcPr>
          <w:p w14:paraId="41A73D15" w14:textId="77777777" w:rsidR="00B63298" w:rsidRPr="0049183D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F14D6" w14:textId="77777777" w:rsidR="00B63298" w:rsidRPr="0049183D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2F3726" w14:textId="77777777" w:rsidR="00B63298" w:rsidRPr="0049183D" w:rsidRDefault="00B63298" w:rsidP="00B63298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Content (</w:t>
            </w:r>
            <w:r>
              <w:rPr>
                <w:rFonts w:eastAsia="Calibri" w:cs="Calibri"/>
                <w:b/>
                <w:lang w:eastAsia="sl-SI"/>
              </w:rPr>
              <w:t>s</w:t>
            </w:r>
            <w:r w:rsidRPr="0049183D">
              <w:rPr>
                <w:rFonts w:eastAsia="Calibri" w:cs="Calibri"/>
                <w:b/>
                <w:lang w:eastAsia="sl-SI"/>
              </w:rPr>
              <w:t>yllabus outline):</w:t>
            </w:r>
          </w:p>
        </w:tc>
      </w:tr>
      <w:tr w:rsidR="009E1DB7" w:rsidRPr="009E1DB7" w14:paraId="4EDFC7EE" w14:textId="77777777" w:rsidTr="00E60441">
        <w:trPr>
          <w:trHeight w:val="269"/>
        </w:trPr>
        <w:tc>
          <w:tcPr>
            <w:tcW w:w="49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AF7A" w14:textId="541938EF" w:rsidR="001308AB" w:rsidRDefault="001308AB" w:rsidP="007C6F41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lang w:eastAsia="sl-SI"/>
              </w:rPr>
            </w:pPr>
            <w:r w:rsidRPr="0071370C">
              <w:rPr>
                <w:rFonts w:eastAsia="Calibri"/>
                <w:lang w:eastAsia="sl-SI"/>
              </w:rPr>
              <w:t>Tehnološke rešitve v pametnih skupnostih</w:t>
            </w:r>
            <w:r>
              <w:rPr>
                <w:rFonts w:eastAsia="Calibri"/>
                <w:lang w:eastAsia="sl-SI"/>
              </w:rPr>
              <w:t xml:space="preserve"> in intralogistiki</w:t>
            </w:r>
            <w:r w:rsidRPr="0071370C">
              <w:rPr>
                <w:rFonts w:eastAsia="Calibri"/>
                <w:lang w:eastAsia="sl-SI"/>
              </w:rPr>
              <w:t xml:space="preserve"> (tehnološka arhitektura, telematika, tehnologije pametnega mesta v navezavi z infrastrukturo)</w:t>
            </w:r>
            <w:r w:rsidR="006C2291">
              <w:rPr>
                <w:rFonts w:eastAsia="Calibri"/>
                <w:lang w:eastAsia="sl-SI"/>
              </w:rPr>
              <w:t>.</w:t>
            </w:r>
          </w:p>
          <w:p w14:paraId="2EC799F6" w14:textId="66AA1C96" w:rsidR="001308AB" w:rsidRDefault="001308AB" w:rsidP="007C6F41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lang w:eastAsia="sl-SI"/>
              </w:rPr>
            </w:pPr>
            <w:r w:rsidRPr="0071370C">
              <w:rPr>
                <w:rFonts w:eastAsia="Calibri"/>
                <w:lang w:eastAsia="sl-SI"/>
              </w:rPr>
              <w:t>Distribucijske strategije v pametnih skupnostih in oskrbovalnih verigah ter potrebna tehnološka podpora</w:t>
            </w:r>
            <w:r>
              <w:rPr>
                <w:rFonts w:eastAsia="Calibri"/>
                <w:lang w:eastAsia="sl-SI"/>
              </w:rPr>
              <w:t xml:space="preserve"> (d</w:t>
            </w:r>
            <w:r w:rsidRPr="0071370C">
              <w:rPr>
                <w:rFonts w:eastAsia="Calibri"/>
                <w:lang w:eastAsia="sl-SI"/>
              </w:rPr>
              <w:t>istribucijski sistemi v mestih</w:t>
            </w:r>
            <w:r>
              <w:rPr>
                <w:rFonts w:eastAsia="Calibri"/>
                <w:lang w:eastAsia="sl-SI"/>
              </w:rPr>
              <w:t>, n</w:t>
            </w:r>
            <w:r w:rsidRPr="0071370C">
              <w:rPr>
                <w:rFonts w:eastAsia="Calibri"/>
                <w:lang w:eastAsia="sl-SI"/>
              </w:rPr>
              <w:t>ačrtovanje in delovanje tra</w:t>
            </w:r>
            <w:r>
              <w:rPr>
                <w:rFonts w:eastAsia="Calibri"/>
                <w:lang w:eastAsia="sl-SI"/>
              </w:rPr>
              <w:t>nsportnih terminalov in vozlišč)</w:t>
            </w:r>
            <w:r w:rsidR="006C2291">
              <w:rPr>
                <w:rFonts w:eastAsia="Calibri"/>
                <w:lang w:eastAsia="sl-SI"/>
              </w:rPr>
              <w:t>.</w:t>
            </w:r>
          </w:p>
          <w:p w14:paraId="3A6A4683" w14:textId="271798AF" w:rsidR="001308AB" w:rsidRDefault="001308AB" w:rsidP="007C6F41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lang w:eastAsia="sl-SI"/>
              </w:rPr>
            </w:pPr>
            <w:r w:rsidRPr="0071370C">
              <w:rPr>
                <w:rFonts w:eastAsia="Calibri"/>
                <w:lang w:eastAsia="sl-SI"/>
              </w:rPr>
              <w:t>Modeliranje in simulacije prometnih tokov z namensko programsko opremo ter strategije upravljanja prometnih tokov</w:t>
            </w:r>
            <w:r w:rsidR="006C2291">
              <w:rPr>
                <w:rFonts w:eastAsia="Calibri"/>
                <w:lang w:eastAsia="sl-SI"/>
              </w:rPr>
              <w:t>.</w:t>
            </w:r>
          </w:p>
          <w:p w14:paraId="1A1FE8C2" w14:textId="77777777" w:rsidR="001308AB" w:rsidRDefault="001308AB" w:rsidP="007C6F41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lang w:eastAsia="sl-SI"/>
              </w:rPr>
            </w:pPr>
            <w:r w:rsidRPr="00464371">
              <w:rPr>
                <w:rFonts w:eastAsia="Calibri"/>
                <w:lang w:eastAsia="sl-SI"/>
              </w:rPr>
              <w:t>Spremljanje učinkovitosti pametnih skupnosti in mobilnosti znotraj njih</w:t>
            </w:r>
          </w:p>
          <w:p w14:paraId="625112B6" w14:textId="4F494485" w:rsidR="009E1DB7" w:rsidRPr="00E60441" w:rsidRDefault="001308AB" w:rsidP="00E60441">
            <w:pPr>
              <w:pStyle w:val="Odstavekseznama"/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64371">
              <w:rPr>
                <w:rFonts w:eastAsia="Calibri"/>
                <w:lang w:eastAsia="sl-SI"/>
              </w:rPr>
              <w:t xml:space="preserve">Sodobne </w:t>
            </w:r>
            <w:r>
              <w:rPr>
                <w:rFonts w:eastAsia="Calibri"/>
                <w:lang w:eastAsia="sl-SI"/>
              </w:rPr>
              <w:t>tehnologije v prometni varnosti (v</w:t>
            </w:r>
            <w:r w:rsidRPr="00464371">
              <w:rPr>
                <w:rFonts w:eastAsia="Calibri"/>
                <w:lang w:eastAsia="sl-SI"/>
              </w:rPr>
              <w:t xml:space="preserve">plivi na voznika med vožnjo s poudarkom na vizualni </w:t>
            </w:r>
            <w:r w:rsidRPr="00464371">
              <w:rPr>
                <w:rFonts w:eastAsia="Calibri"/>
                <w:lang w:eastAsia="sl-SI"/>
              </w:rPr>
              <w:lastRenderedPageBreak/>
              <w:t>pozornosti</w:t>
            </w:r>
            <w:r>
              <w:rPr>
                <w:rFonts w:eastAsia="Calibri"/>
                <w:lang w:eastAsia="sl-SI"/>
              </w:rPr>
              <w:t>, s</w:t>
            </w:r>
            <w:r w:rsidRPr="00464371">
              <w:rPr>
                <w:rFonts w:eastAsia="Calibri"/>
                <w:lang w:eastAsia="sl-SI"/>
              </w:rPr>
              <w:t>enzorika in tehnologije v infrastrukturi, asistenčni sistemi v vozili</w:t>
            </w:r>
            <w:r>
              <w:rPr>
                <w:rFonts w:eastAsia="Calibri"/>
                <w:lang w:eastAsia="sl-SI"/>
              </w:rPr>
              <w:t>h)</w:t>
            </w:r>
            <w:r w:rsidR="006C2291">
              <w:rPr>
                <w:rFonts w:eastAsia="Calibri"/>
                <w:lang w:eastAsia="sl-SI"/>
              </w:rPr>
              <w:t>.</w:t>
            </w:r>
          </w:p>
        </w:tc>
        <w:tc>
          <w:tcPr>
            <w:tcW w:w="152" w:type="dxa"/>
            <w:tcBorders>
              <w:left w:val="single" w:sz="4" w:space="0" w:color="auto"/>
              <w:right w:val="single" w:sz="4" w:space="0" w:color="auto"/>
            </w:tcBorders>
          </w:tcPr>
          <w:p w14:paraId="5B47B472" w14:textId="77777777" w:rsidR="009E1DB7" w:rsidRPr="009E1DB7" w:rsidRDefault="009E1DB7" w:rsidP="00E60441">
            <w:pPr>
              <w:spacing w:after="0"/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50C7" w14:textId="48D67F14" w:rsidR="001308AB" w:rsidRPr="006153CB" w:rsidRDefault="001308AB" w:rsidP="007C6F41">
            <w:pPr>
              <w:pStyle w:val="Odstavekseznama"/>
              <w:numPr>
                <w:ilvl w:val="0"/>
                <w:numId w:val="5"/>
              </w:numPr>
              <w:tabs>
                <w:tab w:val="left" w:pos="1030"/>
              </w:tabs>
              <w:jc w:val="both"/>
              <w:rPr>
                <w:rFonts w:eastAsia="Calibri" w:cs="Arial"/>
                <w:lang w:eastAsia="sl-SI"/>
              </w:rPr>
            </w:pPr>
            <w:r w:rsidRPr="006153CB">
              <w:rPr>
                <w:rFonts w:eastAsia="Calibri" w:cs="Arial"/>
                <w:lang w:eastAsia="sl-SI"/>
              </w:rPr>
              <w:t>Technological solutions in smart communities and intralogistics (technological architecture, telematics, smart city technologies in connection with infrastructure)</w:t>
            </w:r>
            <w:r w:rsidR="006C2291">
              <w:rPr>
                <w:rFonts w:eastAsia="Calibri" w:cs="Arial"/>
                <w:lang w:eastAsia="sl-SI"/>
              </w:rPr>
              <w:t>.</w:t>
            </w:r>
          </w:p>
          <w:p w14:paraId="69A7A5CD" w14:textId="67D5F728" w:rsidR="001308AB" w:rsidRPr="006153CB" w:rsidRDefault="001308AB" w:rsidP="007C6F41">
            <w:pPr>
              <w:pStyle w:val="Odstavekseznama"/>
              <w:numPr>
                <w:ilvl w:val="0"/>
                <w:numId w:val="5"/>
              </w:numPr>
              <w:tabs>
                <w:tab w:val="left" w:pos="1030"/>
              </w:tabs>
              <w:jc w:val="both"/>
              <w:rPr>
                <w:rFonts w:eastAsia="Calibri" w:cs="Arial"/>
                <w:lang w:eastAsia="sl-SI"/>
              </w:rPr>
            </w:pPr>
            <w:r w:rsidRPr="006153CB">
              <w:rPr>
                <w:rFonts w:eastAsia="Calibri" w:cs="Arial"/>
                <w:lang w:eastAsia="sl-SI"/>
              </w:rPr>
              <w:t>Distribution strategies in smart communities and supply chains and the ne</w:t>
            </w:r>
            <w:r>
              <w:rPr>
                <w:rFonts w:eastAsia="Calibri" w:cs="Arial"/>
                <w:lang w:eastAsia="sl-SI"/>
              </w:rPr>
              <w:t>eded</w:t>
            </w:r>
            <w:r w:rsidRPr="006153CB">
              <w:rPr>
                <w:rFonts w:eastAsia="Calibri" w:cs="Arial"/>
                <w:lang w:eastAsia="sl-SI"/>
              </w:rPr>
              <w:t xml:space="preserve"> technological support (urban distribution systems, design and operation of transport terminals and hubs)</w:t>
            </w:r>
            <w:r w:rsidR="006C2291">
              <w:rPr>
                <w:rFonts w:eastAsia="Calibri" w:cs="Arial"/>
                <w:lang w:eastAsia="sl-SI"/>
              </w:rPr>
              <w:t>.</w:t>
            </w:r>
          </w:p>
          <w:p w14:paraId="5F909C90" w14:textId="1677B205" w:rsidR="001308AB" w:rsidRPr="006153CB" w:rsidRDefault="001308AB" w:rsidP="007C6F41">
            <w:pPr>
              <w:pStyle w:val="Odstavekseznama"/>
              <w:numPr>
                <w:ilvl w:val="0"/>
                <w:numId w:val="5"/>
              </w:numPr>
              <w:tabs>
                <w:tab w:val="left" w:pos="1030"/>
              </w:tabs>
              <w:jc w:val="both"/>
              <w:rPr>
                <w:rFonts w:eastAsia="Calibri" w:cs="Arial"/>
                <w:lang w:eastAsia="sl-SI"/>
              </w:rPr>
            </w:pPr>
            <w:r w:rsidRPr="006153CB">
              <w:rPr>
                <w:rFonts w:eastAsia="Calibri" w:cs="Arial"/>
                <w:lang w:eastAsia="sl-SI"/>
              </w:rPr>
              <w:t>Modeling and simulations of traffic flows with dedicated software and traffic flow management strategies</w:t>
            </w:r>
            <w:r w:rsidR="006C2291">
              <w:rPr>
                <w:rFonts w:eastAsia="Calibri" w:cs="Arial"/>
                <w:lang w:eastAsia="sl-SI"/>
              </w:rPr>
              <w:t>.</w:t>
            </w:r>
          </w:p>
          <w:p w14:paraId="49D31A27" w14:textId="08F5204B" w:rsidR="001308AB" w:rsidRPr="006153CB" w:rsidRDefault="001308AB" w:rsidP="007C6F41">
            <w:pPr>
              <w:pStyle w:val="Odstavekseznama"/>
              <w:numPr>
                <w:ilvl w:val="0"/>
                <w:numId w:val="5"/>
              </w:numPr>
              <w:tabs>
                <w:tab w:val="left" w:pos="1030"/>
              </w:tabs>
              <w:jc w:val="both"/>
              <w:rPr>
                <w:rFonts w:eastAsia="Calibri" w:cs="Arial"/>
                <w:lang w:eastAsia="sl-SI"/>
              </w:rPr>
            </w:pPr>
            <w:r w:rsidRPr="006153CB">
              <w:rPr>
                <w:rFonts w:eastAsia="Calibri" w:cs="Arial"/>
                <w:lang w:eastAsia="sl-SI"/>
              </w:rPr>
              <w:t>Monitoring the effectiveness of smart communities and mobility within them</w:t>
            </w:r>
            <w:r w:rsidR="006C2291">
              <w:rPr>
                <w:rFonts w:eastAsia="Calibri" w:cs="Arial"/>
                <w:lang w:eastAsia="sl-SI"/>
              </w:rPr>
              <w:t>.</w:t>
            </w:r>
          </w:p>
          <w:p w14:paraId="547B8622" w14:textId="3EE492BF" w:rsidR="001308AB" w:rsidRDefault="001308AB" w:rsidP="00E60441">
            <w:pPr>
              <w:pStyle w:val="Odstavekseznama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6153CB">
              <w:rPr>
                <w:rFonts w:eastAsia="Calibri" w:cs="Arial"/>
                <w:lang w:eastAsia="sl-SI"/>
              </w:rPr>
              <w:t xml:space="preserve">Modern technologies in </w:t>
            </w:r>
            <w:r>
              <w:rPr>
                <w:rFonts w:eastAsia="Calibri" w:cs="Arial"/>
                <w:lang w:eastAsia="sl-SI"/>
              </w:rPr>
              <w:t>traffic</w:t>
            </w:r>
            <w:r w:rsidRPr="006153CB">
              <w:rPr>
                <w:rFonts w:eastAsia="Calibri" w:cs="Arial"/>
                <w:lang w:eastAsia="sl-SI"/>
              </w:rPr>
              <w:t xml:space="preserve"> safety (</w:t>
            </w:r>
            <w:r>
              <w:rPr>
                <w:rFonts w:eastAsia="Calibri" w:cs="Arial"/>
                <w:lang w:eastAsia="sl-SI"/>
              </w:rPr>
              <w:t>influences</w:t>
            </w:r>
            <w:r w:rsidRPr="006153CB">
              <w:rPr>
                <w:rFonts w:eastAsia="Calibri" w:cs="Arial"/>
                <w:lang w:eastAsia="sl-SI"/>
              </w:rPr>
              <w:t xml:space="preserve"> on the driver while driving with emphasis on visual attention, sensors and technologies in infrastructure, </w:t>
            </w:r>
            <w:r>
              <w:rPr>
                <w:rFonts w:eastAsia="Calibri" w:cs="Arial"/>
                <w:lang w:eastAsia="sl-SI"/>
              </w:rPr>
              <w:t xml:space="preserve">driver </w:t>
            </w:r>
            <w:r w:rsidRPr="006153CB">
              <w:rPr>
                <w:rFonts w:eastAsia="Calibri" w:cs="Arial"/>
                <w:lang w:eastAsia="sl-SI"/>
              </w:rPr>
              <w:t>assistance systems</w:t>
            </w:r>
            <w:r>
              <w:rPr>
                <w:rFonts w:eastAsia="Calibri" w:cs="Arial"/>
                <w:lang w:eastAsia="sl-SI"/>
              </w:rPr>
              <w:t>)</w:t>
            </w:r>
            <w:r w:rsidR="006C2291">
              <w:rPr>
                <w:rFonts w:eastAsia="Calibri" w:cs="Arial"/>
                <w:lang w:eastAsia="sl-SI"/>
              </w:rPr>
              <w:t>.</w:t>
            </w:r>
          </w:p>
          <w:p w14:paraId="01136F9D" w14:textId="77777777" w:rsidR="001308AB" w:rsidRDefault="001308AB" w:rsidP="00E60441">
            <w:pPr>
              <w:pStyle w:val="Odstavekseznama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  <w:p w14:paraId="68E25B91" w14:textId="5F642420" w:rsidR="009E1DB7" w:rsidRPr="009E1DB7" w:rsidRDefault="009E1DB7" w:rsidP="00E6044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</w:tr>
      <w:tr w:rsidR="00E60441" w:rsidRPr="0049183D" w14:paraId="1FE2ED53" w14:textId="77777777" w:rsidTr="00E60441">
        <w:tc>
          <w:tcPr>
            <w:tcW w:w="9923" w:type="dxa"/>
            <w:gridSpan w:val="20"/>
          </w:tcPr>
          <w:p w14:paraId="0E424878" w14:textId="77777777" w:rsidR="00E60441" w:rsidRPr="0049183D" w:rsidRDefault="00E60441" w:rsidP="009E1DB7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9E1DB7" w:rsidRPr="0049183D" w14:paraId="50F6CFCC" w14:textId="77777777" w:rsidTr="00E60441">
        <w:tc>
          <w:tcPr>
            <w:tcW w:w="9923" w:type="dxa"/>
            <w:gridSpan w:val="20"/>
            <w:tcBorders>
              <w:bottom w:val="single" w:sz="4" w:space="0" w:color="auto"/>
            </w:tcBorders>
          </w:tcPr>
          <w:p w14:paraId="4C4D6A60" w14:textId="48831C03" w:rsidR="009E1DB7" w:rsidRPr="0049183D" w:rsidRDefault="009E1DB7" w:rsidP="009E1DB7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lang w:eastAsia="sl-SI"/>
              </w:rPr>
              <w:br w:type="page"/>
            </w:r>
            <w:r w:rsidRPr="0049183D">
              <w:rPr>
                <w:rFonts w:eastAsia="Calibri" w:cs="Calibri"/>
                <w:b/>
                <w:lang w:eastAsia="sl-SI"/>
              </w:rPr>
              <w:t xml:space="preserve">Temeljni literatura in viri / </w:t>
            </w:r>
            <w:r>
              <w:rPr>
                <w:rFonts w:eastAsia="Calibri" w:cs="Calibri"/>
                <w:b/>
                <w:lang w:eastAsia="sl-SI"/>
              </w:rPr>
              <w:t>Reading materials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9E1DB7" w:rsidRPr="00781C83" w14:paraId="166E7B56" w14:textId="77777777" w:rsidTr="00E60441">
        <w:trPr>
          <w:trHeight w:val="20"/>
        </w:trPr>
        <w:tc>
          <w:tcPr>
            <w:tcW w:w="99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B45A" w14:textId="77777777" w:rsidR="004C5879" w:rsidRPr="004C5879" w:rsidRDefault="004C5879" w:rsidP="004C5879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4C5879">
              <w:rPr>
                <w:rFonts w:eastAsia="Calibri" w:cs="Arial"/>
                <w:lang w:eastAsia="sl-SI"/>
              </w:rPr>
              <w:t>Litman, Todd (2021). New mobilities : smart planning for emerging transportation technologies. Washington ; Covelo : Island Press.</w:t>
            </w:r>
          </w:p>
          <w:p w14:paraId="7968B8CF" w14:textId="77777777" w:rsidR="004C5879" w:rsidRPr="004C5879" w:rsidRDefault="004C5879" w:rsidP="004C5879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4C5879">
              <w:rPr>
                <w:rFonts w:eastAsia="Calibri" w:cs="Arial"/>
                <w:lang w:eastAsia="sl-SI"/>
              </w:rPr>
              <w:t xml:space="preserve">Transportation Research Board (2022). Highway capacity manual : a guide for multimodal mobility analysis. Washington, DC: National Academies of Sciences, Engineering, Medicine </w:t>
            </w:r>
          </w:p>
          <w:p w14:paraId="4186CE6B" w14:textId="77777777" w:rsidR="004C5879" w:rsidRPr="004C5879" w:rsidRDefault="004C5879" w:rsidP="004C5879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4C5879">
              <w:rPr>
                <w:rFonts w:eastAsia="Calibri" w:cs="Arial"/>
                <w:lang w:eastAsia="sl-SI"/>
              </w:rPr>
              <w:t>Smiley, Allison (2015). Human factors in traffic safety. Tucson (AZ) : Lawyers &amp; Judges Publishing Company.</w:t>
            </w:r>
          </w:p>
          <w:p w14:paraId="6BA9A407" w14:textId="77777777" w:rsidR="004C5879" w:rsidRPr="004C5879" w:rsidRDefault="004C5879" w:rsidP="004C5879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4C5879">
              <w:rPr>
                <w:rFonts w:eastAsia="Calibri" w:cs="Arial"/>
                <w:lang w:eastAsia="sl-SI"/>
              </w:rPr>
              <w:t>Bengler, Klaus; Drüke, Julia; Hoffmann, Silja; Manstetten, Dietrich; Neukum, Alexandra. (2018). UR:BAN human factors in traffic : approaches for safe, efficient and stress-free urban traffic. Wiesbaden : Springer Nature, 2018</w:t>
            </w:r>
          </w:p>
          <w:p w14:paraId="6606937B" w14:textId="77777777" w:rsidR="004C5879" w:rsidRPr="004C5879" w:rsidRDefault="004C5879" w:rsidP="004C5879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4C5879">
              <w:rPr>
                <w:rFonts w:eastAsia="Calibri" w:cs="Arial"/>
                <w:lang w:eastAsia="sl-SI"/>
              </w:rPr>
              <w:t>Cavar Semanjski, Ivana. (2023). Smart urban mobility : transport planning in the age of big data and digital twins. Amsterdam ; Oxford ; Cambridge, MA : Elsevier,</w:t>
            </w:r>
          </w:p>
          <w:p w14:paraId="63A1DD99" w14:textId="17D123BB" w:rsidR="001308AB" w:rsidRDefault="004C5879" w:rsidP="006C229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C5879">
              <w:rPr>
                <w:rFonts w:eastAsia="Calibri" w:cs="Arial"/>
                <w:lang w:eastAsia="sl-SI"/>
              </w:rPr>
              <w:t>Marek, Guzek;  Jurecki, Rafał; Wach, Wojciech. (2022). Vehicle and Traffic Safety. Basel: MDPI.</w:t>
            </w:r>
            <w:r w:rsidR="00A7653F">
              <w:rPr>
                <w:rFonts w:eastAsia="Calibri" w:cs="Arial"/>
                <w:lang w:eastAsia="sl-SI"/>
              </w:rPr>
              <w:t xml:space="preserve"> </w:t>
            </w:r>
            <w:r w:rsidR="00A7653F" w:rsidRPr="00A7653F">
              <w:rPr>
                <w:rFonts w:eastAsia="Calibri" w:cs="Arial"/>
                <w:lang w:eastAsia="sl-SI"/>
              </w:rPr>
              <w:t>https://doi.org/10.3390/books978-3-0365-5604-8</w:t>
            </w:r>
            <w:r w:rsidR="001308AB" w:rsidRPr="000F1C63">
              <w:rPr>
                <w:rFonts w:asciiTheme="minorHAnsi" w:hAnsiTheme="minorHAnsi" w:cstheme="minorHAnsi"/>
              </w:rPr>
              <w:t>.</w:t>
            </w:r>
          </w:p>
          <w:p w14:paraId="46A400C0" w14:textId="1E6F286F" w:rsidR="007B0307" w:rsidRPr="000F1C63" w:rsidRDefault="007B0307" w:rsidP="006C229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Cvahte Ojsteršek, Tina. (2021). Vizualna pozornost voznik</w:t>
            </w:r>
            <w:r w:rsidR="001D35E7">
              <w:rPr>
                <w:rFonts w:asciiTheme="minorHAnsi" w:hAnsiTheme="minorHAnsi" w:cstheme="minorHAnsi"/>
              </w:rPr>
              <w:t>a na prometno okolje in dogajanje</w:t>
            </w:r>
            <w:r>
              <w:rPr>
                <w:rFonts w:asciiTheme="minorHAnsi" w:hAnsiTheme="minorHAnsi" w:cstheme="minorHAnsi"/>
              </w:rPr>
              <w:t xml:space="preserve"> ob prisotnosti motenj znotraj vozila</w:t>
            </w:r>
            <w:r w:rsidR="001D35E7">
              <w:rPr>
                <w:rFonts w:asciiTheme="minorHAnsi" w:hAnsiTheme="minorHAnsi" w:cstheme="minorHAnsi"/>
              </w:rPr>
              <w:t xml:space="preserve"> [doktorska disertacija]. Celje: Fakulteta za logistiko UM.</w:t>
            </w:r>
          </w:p>
          <w:p w14:paraId="184E7F18" w14:textId="3AFA5F60" w:rsidR="009E1DB7" w:rsidRPr="00E60441" w:rsidRDefault="009E1DB7" w:rsidP="00E604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9E1DB7" w:rsidRPr="0049183D" w14:paraId="17101D27" w14:textId="77777777" w:rsidTr="00E60441">
        <w:trPr>
          <w:trHeight w:val="73"/>
        </w:trPr>
        <w:tc>
          <w:tcPr>
            <w:tcW w:w="4971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1D35D2FC" w14:textId="77777777" w:rsidR="009E1DB7" w:rsidRDefault="009E1DB7" w:rsidP="009E1DB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337EC76C" w14:textId="29E6FAF2" w:rsidR="009E1DB7" w:rsidRPr="0049183D" w:rsidRDefault="009E1DB7" w:rsidP="009E1DB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</w:tcPr>
          <w:p w14:paraId="21B5386D" w14:textId="77777777" w:rsidR="009E1DB7" w:rsidRPr="0049183D" w:rsidRDefault="009E1DB7" w:rsidP="009E1DB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00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01C121E2" w14:textId="77777777" w:rsidR="009E1DB7" w:rsidRDefault="009E1DB7" w:rsidP="009E1DB7">
            <w:pPr>
              <w:spacing w:after="0"/>
              <w:rPr>
                <w:rFonts w:eastAsia="Calibri" w:cs="Calibri"/>
                <w:b/>
                <w:lang w:val="en-GB" w:eastAsia="sl-SI"/>
              </w:rPr>
            </w:pPr>
          </w:p>
          <w:p w14:paraId="51F3F523" w14:textId="121D1BD3" w:rsidR="009E1DB7" w:rsidRPr="0049183D" w:rsidRDefault="009E1DB7" w:rsidP="009E1DB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9E1DB7" w:rsidRPr="00A57D74" w14:paraId="572FDB32" w14:textId="77777777" w:rsidTr="00E60441">
        <w:trPr>
          <w:trHeight w:val="20"/>
        </w:trPr>
        <w:tc>
          <w:tcPr>
            <w:tcW w:w="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893E" w14:textId="77777777" w:rsidR="001308AB" w:rsidRDefault="001308AB" w:rsidP="00E9014A">
            <w:pPr>
              <w:spacing w:after="0"/>
              <w:jc w:val="both"/>
              <w:rPr>
                <w:lang w:eastAsia="sl-SI"/>
              </w:rPr>
            </w:pPr>
            <w:r>
              <w:rPr>
                <w:lang w:eastAsia="sl-SI"/>
              </w:rPr>
              <w:t>Cilji predmeta so:</w:t>
            </w:r>
          </w:p>
          <w:p w14:paraId="2AC9FE7E" w14:textId="12C447CF" w:rsidR="001308AB" w:rsidRDefault="00CF7213" w:rsidP="007C6F41">
            <w:pPr>
              <w:pStyle w:val="Odstavekseznama"/>
              <w:numPr>
                <w:ilvl w:val="0"/>
                <w:numId w:val="6"/>
              </w:numPr>
              <w:jc w:val="both"/>
              <w:rPr>
                <w:lang w:eastAsia="sl-SI"/>
              </w:rPr>
            </w:pPr>
            <w:r>
              <w:rPr>
                <w:lang w:eastAsia="sl-SI"/>
              </w:rPr>
              <w:t>o</w:t>
            </w:r>
            <w:r w:rsidR="001308AB">
              <w:rPr>
                <w:lang w:eastAsia="sl-SI"/>
              </w:rPr>
              <w:t>predeliti vlogo tehnologije in njihove implementacije v pametnih skupnostih,</w:t>
            </w:r>
          </w:p>
          <w:p w14:paraId="223501FD" w14:textId="172C9B03" w:rsidR="001308AB" w:rsidRDefault="00CF7213" w:rsidP="007C6F41">
            <w:pPr>
              <w:pStyle w:val="Odstavekseznama"/>
              <w:numPr>
                <w:ilvl w:val="0"/>
                <w:numId w:val="6"/>
              </w:numPr>
              <w:jc w:val="both"/>
              <w:rPr>
                <w:lang w:eastAsia="sl-SI"/>
              </w:rPr>
            </w:pPr>
            <w:r>
              <w:rPr>
                <w:lang w:eastAsia="sl-SI"/>
              </w:rPr>
              <w:t>p</w:t>
            </w:r>
            <w:r w:rsidR="001308AB">
              <w:rPr>
                <w:lang w:eastAsia="sl-SI"/>
              </w:rPr>
              <w:t>redstaviti možne tehnološke rešitve za izvajanje in upravljanje naprednih mobilnostnih storitev in njihove praktične aplikacije,</w:t>
            </w:r>
          </w:p>
          <w:p w14:paraId="669A150F" w14:textId="27D12F8C" w:rsidR="001308AB" w:rsidRDefault="00CF7213" w:rsidP="007C6F41">
            <w:pPr>
              <w:pStyle w:val="Odstavekseznama"/>
              <w:numPr>
                <w:ilvl w:val="0"/>
                <w:numId w:val="6"/>
              </w:numPr>
              <w:jc w:val="both"/>
              <w:rPr>
                <w:lang w:eastAsia="sl-SI"/>
              </w:rPr>
            </w:pPr>
            <w:r>
              <w:rPr>
                <w:lang w:eastAsia="sl-SI"/>
              </w:rPr>
              <w:t>p</w:t>
            </w:r>
            <w:r w:rsidR="001308AB">
              <w:rPr>
                <w:lang w:eastAsia="sl-SI"/>
              </w:rPr>
              <w:t>ojasniti vlogo distribucije v zagotavljanju delovanja pametnih skupnosti in prikazati pomen in upravljanje transportnih terminalov,</w:t>
            </w:r>
          </w:p>
          <w:p w14:paraId="4026CB99" w14:textId="3EC97BFC" w:rsidR="001308AB" w:rsidRDefault="00CF7213" w:rsidP="007C6F41">
            <w:pPr>
              <w:pStyle w:val="Odstavekseznama"/>
              <w:numPr>
                <w:ilvl w:val="0"/>
                <w:numId w:val="6"/>
              </w:numPr>
              <w:jc w:val="both"/>
              <w:rPr>
                <w:lang w:eastAsia="sl-SI"/>
              </w:rPr>
            </w:pPr>
            <w:r>
              <w:rPr>
                <w:lang w:eastAsia="sl-SI"/>
              </w:rPr>
              <w:t>p</w:t>
            </w:r>
            <w:r w:rsidR="001308AB">
              <w:rPr>
                <w:lang w:eastAsia="sl-SI"/>
              </w:rPr>
              <w:t>redstaviti primer modeliranja in simulacije prometnih tokov,</w:t>
            </w:r>
          </w:p>
          <w:p w14:paraId="2B5D7CAF" w14:textId="3F36159C" w:rsidR="001308AB" w:rsidRDefault="00CF7213" w:rsidP="007C6F41">
            <w:pPr>
              <w:pStyle w:val="Odstavekseznama"/>
              <w:numPr>
                <w:ilvl w:val="0"/>
                <w:numId w:val="6"/>
              </w:numPr>
              <w:jc w:val="both"/>
              <w:rPr>
                <w:lang w:eastAsia="sl-SI"/>
              </w:rPr>
            </w:pPr>
            <w:r>
              <w:rPr>
                <w:lang w:eastAsia="sl-SI"/>
              </w:rPr>
              <w:t>o</w:t>
            </w:r>
            <w:r w:rsidR="001308AB">
              <w:rPr>
                <w:lang w:eastAsia="sl-SI"/>
              </w:rPr>
              <w:t>predeliti nabor možnosti za spremljanje mobilnosti v pametnih skupnostih in načine izbora in uporabe metrik znotraj njih,</w:t>
            </w:r>
          </w:p>
          <w:p w14:paraId="3C84FFB8" w14:textId="0F3F4066" w:rsidR="001308AB" w:rsidRPr="007F3AA9" w:rsidRDefault="00CF7213" w:rsidP="007C6F41">
            <w:pPr>
              <w:pStyle w:val="Odstavekseznama"/>
              <w:numPr>
                <w:ilvl w:val="0"/>
                <w:numId w:val="6"/>
              </w:numPr>
              <w:jc w:val="both"/>
              <w:rPr>
                <w:lang w:eastAsia="sl-SI"/>
              </w:rPr>
            </w:pPr>
            <w:r>
              <w:rPr>
                <w:lang w:eastAsia="sl-SI"/>
              </w:rPr>
              <w:t>n</w:t>
            </w:r>
            <w:r w:rsidR="001308AB">
              <w:rPr>
                <w:lang w:eastAsia="sl-SI"/>
              </w:rPr>
              <w:t>adgraditi znanje na področju prometne varnosti s predstavitvijo sodobnih tehnologij s področja in njihove aplikacije.</w:t>
            </w:r>
          </w:p>
          <w:p w14:paraId="55530DE2" w14:textId="77777777" w:rsidR="001308AB" w:rsidRDefault="001308AB" w:rsidP="00E9014A">
            <w:pPr>
              <w:spacing w:after="0"/>
              <w:jc w:val="both"/>
              <w:rPr>
                <w:lang w:eastAsia="sl-SI"/>
              </w:rPr>
            </w:pPr>
          </w:p>
          <w:p w14:paraId="017E9AAF" w14:textId="77777777" w:rsidR="00CF7213" w:rsidRDefault="00CF7213" w:rsidP="00E9014A">
            <w:pPr>
              <w:spacing w:after="0"/>
              <w:jc w:val="both"/>
              <w:rPr>
                <w:lang w:eastAsia="sl-SI"/>
              </w:rPr>
            </w:pPr>
          </w:p>
          <w:p w14:paraId="6E488159" w14:textId="7B3D80AE" w:rsidR="001308AB" w:rsidRDefault="001308AB" w:rsidP="00E9014A">
            <w:pPr>
              <w:spacing w:after="0"/>
              <w:jc w:val="both"/>
              <w:rPr>
                <w:lang w:eastAsia="sl-SI"/>
              </w:rPr>
            </w:pPr>
            <w:r>
              <w:rPr>
                <w:lang w:eastAsia="sl-SI"/>
              </w:rPr>
              <w:t>Kompetence, ki jih pridobijo študenti:</w:t>
            </w:r>
          </w:p>
          <w:p w14:paraId="6E9722E6" w14:textId="4BCFAC7F" w:rsidR="001308AB" w:rsidRDefault="00CF7213" w:rsidP="007C6F41">
            <w:pPr>
              <w:pStyle w:val="Odstavekseznama"/>
              <w:numPr>
                <w:ilvl w:val="0"/>
                <w:numId w:val="7"/>
              </w:numPr>
              <w:jc w:val="both"/>
              <w:rPr>
                <w:lang w:eastAsia="sl-SI"/>
              </w:rPr>
            </w:pPr>
            <w:r>
              <w:rPr>
                <w:lang w:eastAsia="sl-SI"/>
              </w:rPr>
              <w:t>s</w:t>
            </w:r>
            <w:r w:rsidR="001308AB">
              <w:rPr>
                <w:lang w:eastAsia="sl-SI"/>
              </w:rPr>
              <w:t>pozna in razume arhitekturo pametnih skupnosti in vlogo tehnologij v njej,</w:t>
            </w:r>
          </w:p>
          <w:p w14:paraId="3722BD3A" w14:textId="5CE6951D" w:rsidR="001308AB" w:rsidRDefault="00CF7213" w:rsidP="007C6F41">
            <w:pPr>
              <w:pStyle w:val="Odstavekseznama"/>
              <w:numPr>
                <w:ilvl w:val="0"/>
                <w:numId w:val="7"/>
              </w:numPr>
              <w:jc w:val="both"/>
              <w:rPr>
                <w:lang w:eastAsia="sl-SI"/>
              </w:rPr>
            </w:pPr>
            <w:r>
              <w:rPr>
                <w:lang w:eastAsia="sl-SI"/>
              </w:rPr>
              <w:t>s</w:t>
            </w:r>
            <w:r w:rsidR="001308AB">
              <w:rPr>
                <w:lang w:eastAsia="sl-SI"/>
              </w:rPr>
              <w:t>e usposobi za izbiro tehnološke podpore za delovanje mobilnostnega sistema v pametnih skupnostih,</w:t>
            </w:r>
          </w:p>
          <w:p w14:paraId="4AC234A9" w14:textId="55D25B8C" w:rsidR="001308AB" w:rsidRDefault="00CF7213" w:rsidP="007C6F41">
            <w:pPr>
              <w:pStyle w:val="Odstavekseznama"/>
              <w:numPr>
                <w:ilvl w:val="0"/>
                <w:numId w:val="7"/>
              </w:numPr>
              <w:jc w:val="both"/>
              <w:rPr>
                <w:lang w:eastAsia="sl-SI"/>
              </w:rPr>
            </w:pPr>
            <w:r>
              <w:rPr>
                <w:lang w:eastAsia="sl-SI"/>
              </w:rPr>
              <w:t>s</w:t>
            </w:r>
            <w:r w:rsidR="001308AB">
              <w:rPr>
                <w:lang w:eastAsia="sl-SI"/>
              </w:rPr>
              <w:t>pozna, razume in je sposoben izbrati distribucijske strategije v pametnih skupnostih,</w:t>
            </w:r>
          </w:p>
          <w:p w14:paraId="176B0207" w14:textId="1030DC7A" w:rsidR="001308AB" w:rsidRDefault="00CF7213" w:rsidP="007C6F41">
            <w:pPr>
              <w:pStyle w:val="Odstavekseznama"/>
              <w:numPr>
                <w:ilvl w:val="0"/>
                <w:numId w:val="7"/>
              </w:numPr>
              <w:jc w:val="both"/>
              <w:rPr>
                <w:lang w:eastAsia="sl-SI"/>
              </w:rPr>
            </w:pPr>
            <w:r>
              <w:rPr>
                <w:lang w:eastAsia="sl-SI"/>
              </w:rPr>
              <w:t>s</w:t>
            </w:r>
            <w:r w:rsidR="001308AB">
              <w:rPr>
                <w:lang w:eastAsia="sl-SI"/>
              </w:rPr>
              <w:t>posoben je izdelati enostaven model prometne situacije in simulirati vpliv sprememb in posegov na prometne tokove,</w:t>
            </w:r>
          </w:p>
          <w:p w14:paraId="7F3976B8" w14:textId="7F1ABBE1" w:rsidR="001308AB" w:rsidRDefault="00CF7213" w:rsidP="007C6F41">
            <w:pPr>
              <w:pStyle w:val="Odstavekseznama"/>
              <w:numPr>
                <w:ilvl w:val="0"/>
                <w:numId w:val="7"/>
              </w:numPr>
              <w:jc w:val="both"/>
              <w:rPr>
                <w:lang w:eastAsia="sl-SI"/>
              </w:rPr>
            </w:pPr>
            <w:r>
              <w:rPr>
                <w:lang w:eastAsia="sl-SI"/>
              </w:rPr>
              <w:lastRenderedPageBreak/>
              <w:t>s</w:t>
            </w:r>
            <w:r w:rsidR="001308AB">
              <w:rPr>
                <w:lang w:eastAsia="sl-SI"/>
              </w:rPr>
              <w:t>pozna in zna aplicirati relevantne standarde v pametnih skupnostih,</w:t>
            </w:r>
          </w:p>
          <w:p w14:paraId="582EF3EA" w14:textId="0E2B4C7C" w:rsidR="009E1DB7" w:rsidRPr="00E9014A" w:rsidRDefault="00561596" w:rsidP="00561596">
            <w:pPr>
              <w:pStyle w:val="Odstavekseznam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lang w:eastAsia="sl-SI"/>
              </w:rPr>
            </w:pPr>
            <w:r>
              <w:rPr>
                <w:lang w:eastAsia="sl-SI"/>
              </w:rPr>
              <w:t>s</w:t>
            </w:r>
            <w:r w:rsidR="001308AB">
              <w:rPr>
                <w:lang w:eastAsia="sl-SI"/>
              </w:rPr>
              <w:t>posoben je izbrati in implementirati tehnologije, ki bodo pripomogle k povečanju prometne varnosti v pametnih skupnostih.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43AF" w14:textId="77777777" w:rsidR="009E1DB7" w:rsidRPr="00A57D74" w:rsidRDefault="009E1DB7" w:rsidP="00E9014A">
            <w:pPr>
              <w:spacing w:after="0"/>
              <w:jc w:val="both"/>
              <w:rPr>
                <w:rFonts w:eastAsia="Calibri" w:cs="Arial"/>
                <w:b/>
                <w:lang w:eastAsia="sl-SI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D5CE" w14:textId="77777777" w:rsidR="001308AB" w:rsidRPr="006153CB" w:rsidRDefault="001308AB" w:rsidP="00E9014A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6153CB">
              <w:rPr>
                <w:rFonts w:eastAsia="Calibri" w:cs="Arial"/>
                <w:lang w:eastAsia="sl-SI"/>
              </w:rPr>
              <w:t>The objectives of the course are</w:t>
            </w:r>
            <w:r>
              <w:rPr>
                <w:rFonts w:eastAsia="Calibri" w:cs="Arial"/>
                <w:lang w:eastAsia="sl-SI"/>
              </w:rPr>
              <w:t xml:space="preserve"> to</w:t>
            </w:r>
            <w:r w:rsidRPr="006153CB">
              <w:rPr>
                <w:rFonts w:eastAsia="Calibri" w:cs="Arial"/>
                <w:lang w:eastAsia="sl-SI"/>
              </w:rPr>
              <w:t>:</w:t>
            </w:r>
          </w:p>
          <w:p w14:paraId="7CA90EA8" w14:textId="1A7E30DF" w:rsidR="001308AB" w:rsidRPr="00CF7213" w:rsidRDefault="00CF7213" w:rsidP="007C6F41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eastAsia="Calibri" w:cs="Arial"/>
                <w:lang w:eastAsia="sl-SI"/>
              </w:rPr>
            </w:pPr>
            <w:r w:rsidRPr="00CF7213">
              <w:rPr>
                <w:rFonts w:eastAsia="Calibri" w:cs="Arial"/>
                <w:lang w:eastAsia="sl-SI"/>
              </w:rPr>
              <w:t>d</w:t>
            </w:r>
            <w:r w:rsidR="001308AB" w:rsidRPr="00CF7213">
              <w:rPr>
                <w:rFonts w:eastAsia="Calibri" w:cs="Arial"/>
                <w:lang w:eastAsia="sl-SI"/>
              </w:rPr>
              <w:t>efine the role of technology and its implementation in smart communities,</w:t>
            </w:r>
          </w:p>
          <w:p w14:paraId="7CA44687" w14:textId="130413D4" w:rsidR="001308AB" w:rsidRPr="00CF7213" w:rsidRDefault="00CF7213" w:rsidP="007C6F41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eastAsia="Calibri" w:cs="Arial"/>
                <w:lang w:eastAsia="sl-SI"/>
              </w:rPr>
            </w:pPr>
            <w:r w:rsidRPr="00CF7213">
              <w:rPr>
                <w:rFonts w:eastAsia="Calibri" w:cs="Arial"/>
                <w:lang w:eastAsia="sl-SI"/>
              </w:rPr>
              <w:t>p</w:t>
            </w:r>
            <w:r w:rsidR="001308AB" w:rsidRPr="00CF7213">
              <w:rPr>
                <w:rFonts w:eastAsia="Calibri" w:cs="Arial"/>
                <w:lang w:eastAsia="sl-SI"/>
              </w:rPr>
              <w:t>resent possible technological solutions for implementation and management of advanced mobility services and their practical applications,</w:t>
            </w:r>
          </w:p>
          <w:p w14:paraId="4532A0DA" w14:textId="40348C1E" w:rsidR="001308AB" w:rsidRPr="00CF7213" w:rsidRDefault="00CF7213" w:rsidP="007C6F41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eastAsia="Calibri" w:cs="Arial"/>
                <w:lang w:eastAsia="sl-SI"/>
              </w:rPr>
            </w:pPr>
            <w:r w:rsidRPr="00CF7213">
              <w:rPr>
                <w:rFonts w:eastAsia="Calibri" w:cs="Arial"/>
                <w:lang w:eastAsia="sl-SI"/>
              </w:rPr>
              <w:t>e</w:t>
            </w:r>
            <w:r w:rsidR="001308AB" w:rsidRPr="00CF7213">
              <w:rPr>
                <w:rFonts w:eastAsia="Calibri" w:cs="Arial"/>
                <w:lang w:eastAsia="sl-SI"/>
              </w:rPr>
              <w:t>xplain the role of distribution in ensuring the functioning of smart communities and show the importance and management of transport terminals,</w:t>
            </w:r>
          </w:p>
          <w:p w14:paraId="4251B61E" w14:textId="78F6641A" w:rsidR="001308AB" w:rsidRPr="00CF7213" w:rsidRDefault="00CF7213" w:rsidP="007C6F41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eastAsia="Calibri" w:cs="Arial"/>
                <w:lang w:eastAsia="sl-SI"/>
              </w:rPr>
            </w:pPr>
            <w:r>
              <w:rPr>
                <w:rFonts w:eastAsia="Calibri" w:cs="Arial"/>
                <w:lang w:eastAsia="sl-SI"/>
              </w:rPr>
              <w:t>p</w:t>
            </w:r>
            <w:r w:rsidR="001308AB" w:rsidRPr="00CF7213">
              <w:rPr>
                <w:rFonts w:eastAsia="Calibri" w:cs="Arial"/>
                <w:lang w:eastAsia="sl-SI"/>
              </w:rPr>
              <w:t>resent an example of modeling and simulation of traffic flows,</w:t>
            </w:r>
          </w:p>
          <w:p w14:paraId="53C47E74" w14:textId="30778138" w:rsidR="001308AB" w:rsidRPr="00CF7213" w:rsidRDefault="00CF7213" w:rsidP="007C6F41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eastAsia="Calibri" w:cs="Arial"/>
                <w:lang w:eastAsia="sl-SI"/>
              </w:rPr>
            </w:pPr>
            <w:r>
              <w:rPr>
                <w:rFonts w:eastAsia="Calibri" w:cs="Arial"/>
                <w:lang w:eastAsia="sl-SI"/>
              </w:rPr>
              <w:t>i</w:t>
            </w:r>
            <w:r w:rsidR="001308AB" w:rsidRPr="00CF7213">
              <w:rPr>
                <w:rFonts w:eastAsia="Calibri" w:cs="Arial"/>
                <w:lang w:eastAsia="sl-SI"/>
              </w:rPr>
              <w:t>dentify a set of options for monitoring mobility in smart communities and ways to select and use metrics within them,</w:t>
            </w:r>
          </w:p>
          <w:p w14:paraId="34341503" w14:textId="10A5F07F" w:rsidR="001308AB" w:rsidRPr="00CF7213" w:rsidRDefault="00CF7213" w:rsidP="007C6F41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eastAsia="Calibri" w:cs="Arial"/>
                <w:lang w:eastAsia="sl-SI"/>
              </w:rPr>
            </w:pPr>
            <w:r>
              <w:rPr>
                <w:rFonts w:eastAsia="Calibri" w:cs="Arial"/>
                <w:lang w:eastAsia="sl-SI"/>
              </w:rPr>
              <w:t>i</w:t>
            </w:r>
            <w:r w:rsidR="001308AB" w:rsidRPr="00CF7213">
              <w:rPr>
                <w:rFonts w:eastAsia="Calibri" w:cs="Arial"/>
                <w:lang w:eastAsia="sl-SI"/>
              </w:rPr>
              <w:t>mprove knowledge in the field of traffic safety by presenting modern technologies in the field and their applications.</w:t>
            </w:r>
          </w:p>
          <w:p w14:paraId="4D16EB02" w14:textId="77777777" w:rsidR="001308AB" w:rsidRPr="006153CB" w:rsidRDefault="001308AB" w:rsidP="00CF7213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  <w:p w14:paraId="03427A2E" w14:textId="77777777" w:rsidR="001308AB" w:rsidRPr="006153CB" w:rsidRDefault="001308AB" w:rsidP="00CF7213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6153CB">
              <w:rPr>
                <w:rFonts w:eastAsia="Calibri" w:cs="Arial"/>
                <w:lang w:eastAsia="sl-SI"/>
              </w:rPr>
              <w:t>Competenc</w:t>
            </w:r>
            <w:r>
              <w:rPr>
                <w:rFonts w:eastAsia="Calibri" w:cs="Arial"/>
                <w:lang w:eastAsia="sl-SI"/>
              </w:rPr>
              <w:t>ies</w:t>
            </w:r>
            <w:r w:rsidRPr="006153CB">
              <w:rPr>
                <w:rFonts w:eastAsia="Calibri" w:cs="Arial"/>
                <w:lang w:eastAsia="sl-SI"/>
              </w:rPr>
              <w:t xml:space="preserve"> acquired by students:</w:t>
            </w:r>
          </w:p>
          <w:p w14:paraId="2855F102" w14:textId="527150FB" w:rsidR="001308AB" w:rsidRPr="00CF7213" w:rsidRDefault="00CF7213" w:rsidP="007C6F41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eastAsia="Calibri" w:cs="Arial"/>
                <w:lang w:eastAsia="sl-SI"/>
              </w:rPr>
            </w:pPr>
            <w:r w:rsidRPr="00CF7213">
              <w:rPr>
                <w:rFonts w:eastAsia="Calibri" w:cs="Arial"/>
                <w:lang w:eastAsia="sl-SI"/>
              </w:rPr>
              <w:t>k</w:t>
            </w:r>
            <w:r w:rsidR="001308AB" w:rsidRPr="00CF7213">
              <w:rPr>
                <w:rFonts w:eastAsia="Calibri" w:cs="Arial"/>
                <w:lang w:eastAsia="sl-SI"/>
              </w:rPr>
              <w:t>nows and understands the architecture of smart communities and the role of technologies in it,</w:t>
            </w:r>
          </w:p>
          <w:p w14:paraId="040B9959" w14:textId="01FC4325" w:rsidR="001308AB" w:rsidRPr="00CF7213" w:rsidRDefault="00CF7213" w:rsidP="007C6F41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eastAsia="Calibri" w:cs="Arial"/>
                <w:lang w:eastAsia="sl-SI"/>
              </w:rPr>
            </w:pPr>
            <w:r>
              <w:rPr>
                <w:rFonts w:eastAsia="Calibri" w:cs="Arial"/>
                <w:lang w:eastAsia="sl-SI"/>
              </w:rPr>
              <w:t>i</w:t>
            </w:r>
            <w:r w:rsidR="001308AB" w:rsidRPr="00CF7213">
              <w:rPr>
                <w:rFonts w:eastAsia="Calibri" w:cs="Arial"/>
                <w:lang w:eastAsia="sl-SI"/>
              </w:rPr>
              <w:t>s trained to select technological support for operations of the mobility system in smart communities,</w:t>
            </w:r>
          </w:p>
          <w:p w14:paraId="05BE18F9" w14:textId="77777777" w:rsidR="00CF7213" w:rsidRDefault="00CF7213" w:rsidP="007C6F41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eastAsia="Calibri" w:cs="Arial"/>
                <w:lang w:eastAsia="sl-SI"/>
              </w:rPr>
            </w:pPr>
            <w:r>
              <w:rPr>
                <w:rFonts w:eastAsia="Calibri" w:cs="Arial"/>
                <w:lang w:eastAsia="sl-SI"/>
              </w:rPr>
              <w:t>k</w:t>
            </w:r>
            <w:r w:rsidR="001308AB" w:rsidRPr="00CF7213">
              <w:rPr>
                <w:rFonts w:eastAsia="Calibri" w:cs="Arial"/>
                <w:lang w:eastAsia="sl-SI"/>
              </w:rPr>
              <w:t>nows, understands and is able to choose distribution strategies in smart communities,</w:t>
            </w:r>
          </w:p>
          <w:p w14:paraId="33F3494A" w14:textId="290345CD" w:rsidR="001308AB" w:rsidRPr="00CF7213" w:rsidRDefault="00CF7213" w:rsidP="007C6F41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eastAsia="Calibri" w:cs="Arial"/>
                <w:lang w:eastAsia="sl-SI"/>
              </w:rPr>
            </w:pPr>
            <w:r>
              <w:rPr>
                <w:rFonts w:eastAsia="Calibri" w:cs="Arial"/>
                <w:lang w:eastAsia="sl-SI"/>
              </w:rPr>
              <w:t>i</w:t>
            </w:r>
            <w:r w:rsidR="001308AB" w:rsidRPr="00CF7213">
              <w:rPr>
                <w:rFonts w:eastAsia="Calibri" w:cs="Arial"/>
                <w:lang w:eastAsia="sl-SI"/>
              </w:rPr>
              <w:t>s able to create a simple model of a traffic situation and simulate the impact of changes and interventions on traffic flows,</w:t>
            </w:r>
          </w:p>
          <w:p w14:paraId="174F5AE6" w14:textId="6BD5A567" w:rsidR="001308AB" w:rsidRPr="00CF7213" w:rsidRDefault="00CF7213" w:rsidP="007C6F41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eastAsia="Calibri" w:cs="Arial"/>
                <w:lang w:eastAsia="sl-SI"/>
              </w:rPr>
            </w:pPr>
            <w:r>
              <w:rPr>
                <w:rFonts w:eastAsia="Calibri" w:cs="Arial"/>
                <w:lang w:eastAsia="sl-SI"/>
              </w:rPr>
              <w:lastRenderedPageBreak/>
              <w:t>k</w:t>
            </w:r>
            <w:r w:rsidR="001308AB" w:rsidRPr="00CF7213">
              <w:rPr>
                <w:rFonts w:eastAsia="Calibri" w:cs="Arial"/>
                <w:lang w:eastAsia="sl-SI"/>
              </w:rPr>
              <w:t>nows how to apply relevant standards in smart communities,</w:t>
            </w:r>
          </w:p>
          <w:p w14:paraId="41C5AAA2" w14:textId="1F7D7BF0" w:rsidR="009E1DB7" w:rsidRPr="00CF7213" w:rsidRDefault="00CF7213" w:rsidP="007C6F41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eastAsia="Calibri" w:cs="Arial"/>
                <w:lang w:eastAsia="sl-SI"/>
              </w:rPr>
            </w:pPr>
            <w:r>
              <w:rPr>
                <w:rFonts w:eastAsia="Calibri" w:cs="Arial"/>
                <w:lang w:eastAsia="sl-SI"/>
              </w:rPr>
              <w:t>i</w:t>
            </w:r>
            <w:r w:rsidR="001308AB" w:rsidRPr="00CF7213">
              <w:rPr>
                <w:rFonts w:eastAsia="Calibri" w:cs="Arial"/>
                <w:lang w:eastAsia="sl-SI"/>
              </w:rPr>
              <w:t>s able to select and implement technologies that will help increase traffic safety in smart communities.</w:t>
            </w:r>
          </w:p>
        </w:tc>
      </w:tr>
      <w:tr w:rsidR="009E1DB7" w:rsidRPr="0049183D" w14:paraId="2732D8B1" w14:textId="77777777" w:rsidTr="00E60441">
        <w:trPr>
          <w:trHeight w:val="117"/>
        </w:trPr>
        <w:tc>
          <w:tcPr>
            <w:tcW w:w="49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8FEE7" w14:textId="77777777" w:rsidR="009E1DB7" w:rsidRPr="0049183D" w:rsidRDefault="009E1DB7" w:rsidP="009E1DB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57D9C8" w14:textId="77777777" w:rsidR="009E1DB7" w:rsidRPr="0049183D" w:rsidRDefault="009E1DB7" w:rsidP="009E1DB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</w:tcPr>
          <w:p w14:paraId="4D4A9CC8" w14:textId="77777777" w:rsidR="009E1DB7" w:rsidRPr="0049183D" w:rsidRDefault="009E1DB7" w:rsidP="009E1DB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26D774D" w14:textId="77777777" w:rsidR="009E1DB7" w:rsidRPr="0049183D" w:rsidRDefault="009E1DB7" w:rsidP="009E1DB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6AC38" w14:textId="77777777" w:rsidR="009E1DB7" w:rsidRPr="0049183D" w:rsidRDefault="009E1DB7" w:rsidP="009E1DB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589EC16" w14:textId="77777777" w:rsidR="009E1DB7" w:rsidRPr="0049183D" w:rsidRDefault="009E1DB7" w:rsidP="009E1DB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9E1DB7" w:rsidRPr="009E1DB7" w14:paraId="355E000C" w14:textId="77777777" w:rsidTr="00E60441">
        <w:trPr>
          <w:trHeight w:val="410"/>
        </w:trPr>
        <w:tc>
          <w:tcPr>
            <w:tcW w:w="4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80CC" w14:textId="2C086E0C" w:rsidR="001308AB" w:rsidRDefault="009E1DB7" w:rsidP="00E60441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E1DB7">
              <w:rPr>
                <w:rFonts w:asciiTheme="minorHAnsi" w:hAnsiTheme="minorHAnsi" w:cstheme="minorHAnsi"/>
                <w:color w:val="000000" w:themeColor="text1"/>
              </w:rPr>
              <w:t>Znanje in razumevanje:</w:t>
            </w:r>
          </w:p>
          <w:p w14:paraId="15495FD8" w14:textId="77777777" w:rsidR="001308AB" w:rsidRDefault="001308AB" w:rsidP="00E60441">
            <w:pPr>
              <w:tabs>
                <w:tab w:val="left" w:pos="227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Študent je ob zaključku predmeta zmožen:</w:t>
            </w:r>
          </w:p>
          <w:p w14:paraId="3AEE935F" w14:textId="6E6BC921" w:rsidR="001308AB" w:rsidRPr="00CF7213" w:rsidRDefault="00CF7213" w:rsidP="007C6F41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="001308AB" w:rsidRPr="00CF7213">
              <w:rPr>
                <w:rFonts w:asciiTheme="minorHAnsi" w:hAnsiTheme="minorHAnsi" w:cstheme="minorHAnsi"/>
              </w:rPr>
              <w:t>azumeti vpliv tehnologij na zagotavljanje pametne mobilnosti,</w:t>
            </w:r>
          </w:p>
          <w:p w14:paraId="6D987C4D" w14:textId="5E40A056" w:rsidR="001308AB" w:rsidRPr="00CF7213" w:rsidRDefault="00CF7213" w:rsidP="007C6F41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="001308AB" w:rsidRPr="00CF7213">
              <w:rPr>
                <w:rFonts w:asciiTheme="minorHAnsi" w:hAnsiTheme="minorHAnsi" w:cstheme="minorHAnsi"/>
              </w:rPr>
              <w:t>nati uporabiti tehnološke rešitve za načrtovanje prometnih situacij in tokov,</w:t>
            </w:r>
          </w:p>
          <w:p w14:paraId="0DE5792E" w14:textId="167BFF56" w:rsidR="001308AB" w:rsidRPr="00CF7213" w:rsidRDefault="00CF7213" w:rsidP="007C6F41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="001308AB" w:rsidRPr="00CF7213">
              <w:rPr>
                <w:rFonts w:asciiTheme="minorHAnsi" w:hAnsiTheme="minorHAnsi" w:cstheme="minorHAnsi"/>
              </w:rPr>
              <w:t>nati načrtovati distribucijski sistem v pametni skupnosti,</w:t>
            </w:r>
          </w:p>
          <w:p w14:paraId="3766A012" w14:textId="5FAAF3D9" w:rsidR="001308AB" w:rsidRPr="00CF7213" w:rsidRDefault="00CF7213" w:rsidP="007C6F41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="001308AB" w:rsidRPr="00CF7213">
              <w:rPr>
                <w:rFonts w:asciiTheme="minorHAnsi" w:hAnsiTheme="minorHAnsi" w:cstheme="minorHAnsi"/>
              </w:rPr>
              <w:t>nati opredeliti parametre spremljanja učinkovitosti mobilnosti in implementirati sistem spremljanja v skladu z zastavljenimi metrikami,</w:t>
            </w:r>
          </w:p>
          <w:p w14:paraId="7ED6B17E" w14:textId="5B4AB873" w:rsidR="009E1DB7" w:rsidRPr="00CF7213" w:rsidRDefault="00CF7213" w:rsidP="007C6F41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="001308AB" w:rsidRPr="00CF7213">
              <w:rPr>
                <w:rFonts w:asciiTheme="minorHAnsi" w:hAnsiTheme="minorHAnsi" w:cstheme="minorHAnsi"/>
              </w:rPr>
              <w:t>azumeti vlogo tehnološke podpore pri zagotavljanju prometne varnosti in njenega proučevanja.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9909D" w14:textId="77777777" w:rsidR="009E1DB7" w:rsidRPr="009E1DB7" w:rsidRDefault="009E1DB7" w:rsidP="00E60441">
            <w:pPr>
              <w:spacing w:after="0"/>
              <w:jc w:val="both"/>
              <w:rPr>
                <w:rFonts w:asciiTheme="minorHAnsi" w:eastAsia="Calibri" w:hAnsiTheme="minorHAnsi" w:cstheme="minorHAnsi"/>
                <w:lang w:eastAsia="sl-SI"/>
              </w:rPr>
            </w:pP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85DF" w14:textId="5A727D40" w:rsidR="001308AB" w:rsidRDefault="009E1DB7" w:rsidP="00E60441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9E1DB7">
              <w:rPr>
                <w:rFonts w:asciiTheme="minorHAnsi" w:hAnsiTheme="minorHAnsi" w:cstheme="minorHAnsi"/>
                <w:color w:val="000000" w:themeColor="text1"/>
                <w:lang w:val="en-GB"/>
              </w:rPr>
              <w:t>Knowing and understanding:</w:t>
            </w:r>
          </w:p>
          <w:p w14:paraId="18EB84C4" w14:textId="77777777" w:rsidR="001308AB" w:rsidRPr="006153CB" w:rsidRDefault="001308AB" w:rsidP="00E60441">
            <w:pPr>
              <w:tabs>
                <w:tab w:val="left" w:pos="227"/>
              </w:tabs>
              <w:spacing w:after="0"/>
              <w:jc w:val="both"/>
              <w:rPr>
                <w:rFonts w:eastAsia="Calibri"/>
                <w:lang w:eastAsia="sl-SI"/>
              </w:rPr>
            </w:pPr>
            <w:r w:rsidRPr="006153CB">
              <w:rPr>
                <w:rFonts w:eastAsia="Calibri"/>
                <w:lang w:eastAsia="sl-SI"/>
              </w:rPr>
              <w:t>At the end of the course</w:t>
            </w:r>
            <w:r>
              <w:rPr>
                <w:rFonts w:eastAsia="Calibri"/>
                <w:lang w:eastAsia="sl-SI"/>
              </w:rPr>
              <w:t>,</w:t>
            </w:r>
            <w:r w:rsidRPr="006153CB">
              <w:rPr>
                <w:rFonts w:eastAsia="Calibri"/>
                <w:lang w:eastAsia="sl-SI"/>
              </w:rPr>
              <w:t xml:space="preserve"> the student is able to:</w:t>
            </w:r>
          </w:p>
          <w:p w14:paraId="1E511F8F" w14:textId="292AB39E" w:rsidR="001308AB" w:rsidRPr="00CF7213" w:rsidRDefault="00CF7213" w:rsidP="007C6F41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eastAsia="Calibri"/>
                <w:lang w:eastAsia="sl-SI"/>
              </w:rPr>
            </w:pPr>
            <w:r>
              <w:rPr>
                <w:rFonts w:eastAsia="Calibri"/>
                <w:lang w:eastAsia="sl-SI"/>
              </w:rPr>
              <w:t>u</w:t>
            </w:r>
            <w:r w:rsidR="001308AB" w:rsidRPr="00CF7213">
              <w:rPr>
                <w:rFonts w:eastAsia="Calibri"/>
                <w:lang w:eastAsia="sl-SI"/>
              </w:rPr>
              <w:t>nderstand the impact of technologies on ensuring smart mobility,</w:t>
            </w:r>
          </w:p>
          <w:p w14:paraId="29347651" w14:textId="0CE79126" w:rsidR="001308AB" w:rsidRPr="00CF7213" w:rsidRDefault="00CF7213" w:rsidP="007C6F41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eastAsia="Calibri"/>
                <w:lang w:eastAsia="sl-SI"/>
              </w:rPr>
            </w:pPr>
            <w:r>
              <w:rPr>
                <w:rFonts w:eastAsia="Calibri"/>
                <w:lang w:eastAsia="sl-SI"/>
              </w:rPr>
              <w:t>u</w:t>
            </w:r>
            <w:r w:rsidR="001308AB" w:rsidRPr="00CF7213">
              <w:rPr>
                <w:rFonts w:eastAsia="Calibri"/>
                <w:lang w:eastAsia="sl-SI"/>
              </w:rPr>
              <w:t>se technological solutions for planning traffic situations and flows,</w:t>
            </w:r>
          </w:p>
          <w:p w14:paraId="5CABC469" w14:textId="554DCB82" w:rsidR="001308AB" w:rsidRPr="00CF7213" w:rsidRDefault="00CF7213" w:rsidP="007C6F41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eastAsia="Calibri"/>
                <w:lang w:eastAsia="sl-SI"/>
              </w:rPr>
            </w:pPr>
            <w:r>
              <w:rPr>
                <w:rFonts w:eastAsia="Calibri"/>
                <w:lang w:eastAsia="sl-SI"/>
              </w:rPr>
              <w:t>d</w:t>
            </w:r>
            <w:r w:rsidR="001308AB" w:rsidRPr="00CF7213">
              <w:rPr>
                <w:rFonts w:eastAsia="Calibri"/>
                <w:lang w:eastAsia="sl-SI"/>
              </w:rPr>
              <w:t>esign a distribution system in a smart community,</w:t>
            </w:r>
          </w:p>
          <w:p w14:paraId="449AD8D2" w14:textId="2B0A3E2F" w:rsidR="001308AB" w:rsidRPr="00CF7213" w:rsidRDefault="00CF7213" w:rsidP="007C6F41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eastAsia="Calibri"/>
                <w:lang w:eastAsia="sl-SI"/>
              </w:rPr>
            </w:pPr>
            <w:r>
              <w:rPr>
                <w:rFonts w:eastAsia="Calibri"/>
                <w:lang w:eastAsia="sl-SI"/>
              </w:rPr>
              <w:t>d</w:t>
            </w:r>
            <w:r w:rsidR="001308AB" w:rsidRPr="00CF7213">
              <w:rPr>
                <w:rFonts w:eastAsia="Calibri"/>
                <w:lang w:eastAsia="sl-SI"/>
              </w:rPr>
              <w:t>efine the parameters of monitoring effectiveness of mobility and implement a monitoring system in accordance with the set metrics,</w:t>
            </w:r>
          </w:p>
          <w:p w14:paraId="11144B59" w14:textId="0D501033" w:rsidR="009E1DB7" w:rsidRPr="00CF7213" w:rsidRDefault="00CF7213" w:rsidP="007C6F41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eastAsia="Calibri"/>
                <w:lang w:eastAsia="sl-SI"/>
              </w:rPr>
            </w:pPr>
            <w:r>
              <w:rPr>
                <w:rFonts w:eastAsia="Calibri"/>
                <w:lang w:eastAsia="sl-SI"/>
              </w:rPr>
              <w:t>u</w:t>
            </w:r>
            <w:r w:rsidR="001308AB" w:rsidRPr="00CF7213">
              <w:rPr>
                <w:rFonts w:eastAsia="Calibri"/>
                <w:lang w:eastAsia="sl-SI"/>
              </w:rPr>
              <w:t>nderstand the role of technology support in ensuring and studying road safety.</w:t>
            </w:r>
          </w:p>
        </w:tc>
      </w:tr>
      <w:tr w:rsidR="009E1DB7" w:rsidRPr="0049183D" w14:paraId="28C61BBA" w14:textId="77777777" w:rsidTr="00E60441">
        <w:tc>
          <w:tcPr>
            <w:tcW w:w="4980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5F9B87AA" w14:textId="4EA099A0" w:rsidR="009E1DB7" w:rsidRPr="0049183D" w:rsidRDefault="009E1DB7" w:rsidP="009E1DB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CB06FAE" w14:textId="77777777" w:rsidR="009E1DB7" w:rsidRPr="0049183D" w:rsidRDefault="009E1DB7" w:rsidP="009E1DB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</w:tcPr>
          <w:p w14:paraId="47B947C4" w14:textId="77777777" w:rsidR="009E1DB7" w:rsidRPr="0049183D" w:rsidRDefault="009E1DB7" w:rsidP="009E1DB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A03173A" w14:textId="77777777" w:rsidR="009E1DB7" w:rsidRPr="0049183D" w:rsidRDefault="009E1DB7" w:rsidP="009E1DB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00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539ECA8F" w14:textId="77777777" w:rsidR="009E1DB7" w:rsidRPr="0049183D" w:rsidRDefault="009E1DB7" w:rsidP="009E1DB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DCDBC86" w14:textId="77777777" w:rsidR="009E1DB7" w:rsidRPr="0049183D" w:rsidRDefault="009E1DB7" w:rsidP="009E1DB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9E1DB7" w:rsidRPr="00E33A20" w14:paraId="4C66F302" w14:textId="77777777" w:rsidTr="00E60441">
        <w:trPr>
          <w:trHeight w:val="20"/>
        </w:trPr>
        <w:tc>
          <w:tcPr>
            <w:tcW w:w="4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2F8C" w14:textId="77777777" w:rsidR="000920D2" w:rsidRPr="007303D9" w:rsidRDefault="009E1DB7" w:rsidP="00E60441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D90B6C">
              <w:rPr>
                <w:rFonts w:asciiTheme="minorHAnsi" w:hAnsiTheme="minorHAnsi" w:cstheme="minorHAnsi"/>
                <w:bCs/>
              </w:rPr>
              <w:t>Predavanja: pri predavanjih študent spozna teoretične vsebine predmeta. Del predavanj se izvaja na klasični način v predavalni</w:t>
            </w:r>
            <w:r>
              <w:rPr>
                <w:rFonts w:asciiTheme="minorHAnsi" w:hAnsiTheme="minorHAnsi" w:cstheme="minorHAnsi"/>
                <w:bCs/>
              </w:rPr>
              <w:t>ci, del pa v obliki e-predavanj</w:t>
            </w:r>
            <w:r w:rsidR="000920D2">
              <w:rPr>
                <w:rFonts w:asciiTheme="minorHAnsi" w:hAnsiTheme="minorHAnsi" w:cstheme="minorHAnsi"/>
                <w:bCs/>
              </w:rPr>
              <w:t xml:space="preserve"> </w:t>
            </w:r>
            <w:r w:rsidR="000920D2" w:rsidRPr="007303D9">
              <w:rPr>
                <w:rFonts w:asciiTheme="minorHAnsi" w:hAnsiTheme="minorHAnsi" w:cstheme="minorHAnsi"/>
                <w:bCs/>
              </w:rPr>
              <w:t>(e-predavanja se lahko izvajajo na videokonferenčni način ali s pomočjo posebej v ta namen didaktično pripravljenih e-gradiv v virtualnem elektronskem učnem okolju).</w:t>
            </w:r>
          </w:p>
          <w:p w14:paraId="73BF1680" w14:textId="49DC21C9" w:rsidR="009E1DB7" w:rsidRDefault="009E1DB7" w:rsidP="00E60441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A339AFB" w14:textId="1D08EA66" w:rsidR="009E1DB7" w:rsidRPr="00E33A20" w:rsidRDefault="009E1DB7" w:rsidP="00E60441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D90B6C">
              <w:rPr>
                <w:rFonts w:asciiTheme="minorHAnsi" w:hAnsiTheme="minorHAnsi" w:cstheme="minorHAnsi"/>
                <w:bCs/>
              </w:rPr>
              <w:t xml:space="preserve">Vaje: pri vajah študent utrdi teoretično znanje in spozna aplikativne možnosti. </w:t>
            </w:r>
            <w:r w:rsidR="000920D2" w:rsidRPr="007303D9">
              <w:rPr>
                <w:rFonts w:asciiTheme="minorHAnsi" w:hAnsiTheme="minorHAnsi" w:cstheme="minorHAnsi"/>
                <w:bCs/>
              </w:rPr>
              <w:t>Praktične stro</w:t>
            </w:r>
            <w:r w:rsidR="000920D2">
              <w:rPr>
                <w:rFonts w:asciiTheme="minorHAnsi" w:hAnsiTheme="minorHAnsi" w:cstheme="minorHAnsi"/>
                <w:bCs/>
              </w:rPr>
              <w:t>kovne ekskurzije v podjetja in druga okolja</w:t>
            </w:r>
            <w:r w:rsidR="000920D2" w:rsidRPr="007303D9">
              <w:rPr>
                <w:rFonts w:asciiTheme="minorHAnsi" w:hAnsiTheme="minorHAnsi" w:cstheme="minorHAnsi"/>
                <w:bCs/>
              </w:rPr>
              <w:t xml:space="preserve">. </w:t>
            </w:r>
            <w:r w:rsidRPr="00D90B6C">
              <w:rPr>
                <w:rFonts w:asciiTheme="minorHAnsi" w:hAnsiTheme="minorHAnsi" w:cstheme="minorHAnsi"/>
                <w:bCs/>
              </w:rPr>
              <w:t>Del vaj se izvaja na klasični način v predavalnici, del pa v obliki e-</w:t>
            </w:r>
            <w:r w:rsidRPr="00D45F14">
              <w:rPr>
                <w:rFonts w:asciiTheme="minorHAnsi" w:hAnsiTheme="minorHAnsi" w:cstheme="minorHAnsi"/>
                <w:bCs/>
              </w:rPr>
              <w:t>vaj</w:t>
            </w:r>
            <w:r w:rsidR="000920D2">
              <w:rPr>
                <w:rFonts w:asciiTheme="minorHAnsi" w:hAnsiTheme="minorHAnsi" w:cstheme="minorHAnsi"/>
                <w:bCs/>
              </w:rPr>
              <w:t xml:space="preserve"> </w:t>
            </w:r>
            <w:r w:rsidR="000920D2" w:rsidRPr="007303D9">
              <w:rPr>
                <w:rFonts w:asciiTheme="minorHAnsi" w:hAnsiTheme="minorHAnsi" w:cstheme="minorHAnsi"/>
                <w:bCs/>
              </w:rPr>
              <w:t>(e-vaje se lahko izvajajo na videokonferenčni način ali s pomočjo posebej v ta namen didaktično pripravljenih e-gradiv v virtualnem elektronskem učnem okolju).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4BF4" w14:textId="77777777" w:rsidR="009E1DB7" w:rsidRPr="00E33A20" w:rsidRDefault="009E1DB7" w:rsidP="009E1DB7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0363" w14:textId="77777777" w:rsidR="000920D2" w:rsidRPr="006153CB" w:rsidRDefault="009E1DB7" w:rsidP="000920D2">
            <w:pPr>
              <w:spacing w:after="0"/>
              <w:rPr>
                <w:rFonts w:eastAsia="Calibri" w:cs="Arial"/>
                <w:lang w:eastAsia="sl-SI"/>
              </w:rPr>
            </w:pPr>
            <w:r w:rsidRPr="00D45F14">
              <w:rPr>
                <w:rFonts w:asciiTheme="minorHAnsi" w:hAnsiTheme="minorHAnsi" w:cstheme="minorHAnsi"/>
                <w:lang w:val="en-GB"/>
              </w:rPr>
              <w:t>Lectures: Students understand the theoretical frameworks of the course. Part of the lecture course is in a classroom while the re</w:t>
            </w:r>
            <w:r>
              <w:rPr>
                <w:rFonts w:asciiTheme="minorHAnsi" w:hAnsiTheme="minorHAnsi" w:cstheme="minorHAnsi"/>
                <w:lang w:val="en-GB"/>
              </w:rPr>
              <w:t>st is in the form of e-learning</w:t>
            </w:r>
            <w:r w:rsidR="000920D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0920D2" w:rsidRPr="006153CB">
              <w:rPr>
                <w:rFonts w:eastAsia="Calibri" w:cs="Arial"/>
                <w:lang w:eastAsia="sl-SI"/>
              </w:rPr>
              <w:t>(e-lectures can be conducted in a videoconference way or with the help of specially prepared didactic e-materials in a virtual electronic learning environment).</w:t>
            </w:r>
          </w:p>
          <w:p w14:paraId="1417A072" w14:textId="77777777" w:rsidR="000920D2" w:rsidRPr="006153CB" w:rsidRDefault="000920D2" w:rsidP="000920D2">
            <w:pPr>
              <w:spacing w:after="0"/>
              <w:rPr>
                <w:rFonts w:eastAsia="Calibri" w:cs="Arial"/>
                <w:lang w:eastAsia="sl-SI"/>
              </w:rPr>
            </w:pPr>
          </w:p>
          <w:p w14:paraId="16E78F08" w14:textId="455AF319" w:rsidR="009E1DB7" w:rsidRPr="00E33A20" w:rsidRDefault="009E1DB7" w:rsidP="009E1DB7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en-GB"/>
              </w:rPr>
              <w:t>Tutorials</w:t>
            </w:r>
            <w:r w:rsidR="000920D2" w:rsidRPr="006153CB">
              <w:rPr>
                <w:rFonts w:eastAsia="Calibri" w:cs="Arial"/>
                <w:lang w:eastAsia="sl-SI"/>
              </w:rPr>
              <w:t xml:space="preserve">: in the </w:t>
            </w:r>
            <w:r w:rsidR="000920D2">
              <w:rPr>
                <w:rFonts w:eastAsia="Calibri" w:cs="Arial"/>
                <w:lang w:eastAsia="sl-SI"/>
              </w:rPr>
              <w:t>tutorials</w:t>
            </w:r>
            <w:r w:rsidR="000920D2" w:rsidRPr="006153CB">
              <w:rPr>
                <w:rFonts w:eastAsia="Calibri" w:cs="Arial"/>
                <w:lang w:eastAsia="sl-SI"/>
              </w:rPr>
              <w:t xml:space="preserve"> the student consolidates theoretical knowledge and learns about application possibilities. Practical professional excursions to companies</w:t>
            </w:r>
            <w:r w:rsidR="000920D2">
              <w:rPr>
                <w:rFonts w:eastAsia="Calibri" w:cs="Arial"/>
                <w:lang w:eastAsia="sl-SI"/>
              </w:rPr>
              <w:t xml:space="preserve"> and other relevant environments</w:t>
            </w:r>
            <w:r w:rsidR="000920D2" w:rsidRPr="006153CB">
              <w:rPr>
                <w:rFonts w:eastAsia="Calibri" w:cs="Arial"/>
                <w:lang w:eastAsia="sl-SI"/>
              </w:rPr>
              <w:t xml:space="preserve">. Part of the </w:t>
            </w:r>
            <w:r w:rsidR="000920D2">
              <w:rPr>
                <w:rFonts w:eastAsia="Calibri" w:cs="Arial"/>
                <w:lang w:eastAsia="sl-SI"/>
              </w:rPr>
              <w:t>tutorials</w:t>
            </w:r>
            <w:r w:rsidR="000920D2" w:rsidRPr="006153CB">
              <w:rPr>
                <w:rFonts w:eastAsia="Calibri" w:cs="Arial"/>
                <w:lang w:eastAsia="sl-SI"/>
              </w:rPr>
              <w:t xml:space="preserve"> is performed in the classic way in </w:t>
            </w:r>
            <w:r w:rsidR="000920D2">
              <w:rPr>
                <w:rFonts w:eastAsia="Calibri" w:cs="Arial"/>
                <w:lang w:eastAsia="sl-SI"/>
              </w:rPr>
              <w:t>a</w:t>
            </w:r>
            <w:r w:rsidR="000920D2" w:rsidRPr="006153CB">
              <w:rPr>
                <w:rFonts w:eastAsia="Calibri" w:cs="Arial"/>
                <w:lang w:eastAsia="sl-SI"/>
              </w:rPr>
              <w:t xml:space="preserve"> lecture room, and part in the form of e-</w:t>
            </w:r>
            <w:r w:rsidR="000920D2">
              <w:rPr>
                <w:rFonts w:eastAsia="Calibri" w:cs="Arial"/>
                <w:lang w:eastAsia="sl-SI"/>
              </w:rPr>
              <w:t>tutorials</w:t>
            </w:r>
            <w:r w:rsidR="000920D2" w:rsidRPr="006153CB">
              <w:rPr>
                <w:rFonts w:eastAsia="Calibri" w:cs="Arial"/>
                <w:lang w:eastAsia="sl-SI"/>
              </w:rPr>
              <w:t xml:space="preserve"> (e-</w:t>
            </w:r>
            <w:r w:rsidR="000920D2">
              <w:rPr>
                <w:rFonts w:eastAsia="Calibri" w:cs="Arial"/>
                <w:lang w:eastAsia="sl-SI"/>
              </w:rPr>
              <w:t>tutorials</w:t>
            </w:r>
            <w:r w:rsidR="000920D2" w:rsidRPr="006153CB">
              <w:rPr>
                <w:rFonts w:eastAsia="Calibri" w:cs="Arial"/>
                <w:lang w:eastAsia="sl-SI"/>
              </w:rPr>
              <w:t xml:space="preserve"> can be performed in a videoconferencing way or with the help of specially prepared didactic e-materials in a virtual electronic learning environment).</w:t>
            </w:r>
          </w:p>
        </w:tc>
      </w:tr>
      <w:tr w:rsidR="009E1DB7" w:rsidRPr="0049183D" w14:paraId="0566443A" w14:textId="77777777" w:rsidTr="00E60441">
        <w:tc>
          <w:tcPr>
            <w:tcW w:w="41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29F6E0" w14:textId="618F0777" w:rsidR="009E1DB7" w:rsidRDefault="009E1DB7" w:rsidP="009E1DB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FE5C40B" w14:textId="77777777" w:rsidR="009E1DB7" w:rsidRDefault="009E1DB7" w:rsidP="009E1DB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D420B6D" w14:textId="79918D47" w:rsidR="009E1DB7" w:rsidRPr="0049183D" w:rsidRDefault="009E1DB7" w:rsidP="009E1DB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9C17D" w14:textId="77777777" w:rsidR="009E1DB7" w:rsidRDefault="009E1DB7" w:rsidP="009E1DB7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59BD2FDC" w14:textId="4BC67B01" w:rsidR="009E1DB7" w:rsidRPr="0049183D" w:rsidRDefault="009E1DB7" w:rsidP="009E1DB7">
            <w:pPr>
              <w:spacing w:after="0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lang w:eastAsia="sl-SI"/>
              </w:rPr>
              <w:t>Delež (v %) /</w:t>
            </w:r>
          </w:p>
          <w:p w14:paraId="49E1EDE7" w14:textId="77777777" w:rsidR="009E1DB7" w:rsidRPr="0049183D" w:rsidRDefault="009E1DB7" w:rsidP="009E1DB7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Share</w:t>
            </w:r>
            <w:r w:rsidRPr="0049183D">
              <w:rPr>
                <w:rFonts w:eastAsia="Calibri" w:cs="Calibri"/>
                <w:lang w:eastAsia="sl-SI"/>
              </w:rPr>
              <w:t xml:space="preserve"> (in %)</w:t>
            </w:r>
          </w:p>
        </w:tc>
        <w:tc>
          <w:tcPr>
            <w:tcW w:w="40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A475E" w14:textId="317FC3F9" w:rsidR="009E1DB7" w:rsidRDefault="009E1DB7" w:rsidP="009E1DB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44BDE0" w14:textId="77777777" w:rsidR="009E1DB7" w:rsidRDefault="009E1DB7" w:rsidP="009E1DB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2097A4" w14:textId="4D97D149" w:rsidR="009E1DB7" w:rsidRPr="0049183D" w:rsidRDefault="009E1DB7" w:rsidP="009E1DB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Assessment</w:t>
            </w:r>
            <w:r>
              <w:rPr>
                <w:rFonts w:eastAsia="Calibri" w:cs="Calibri"/>
                <w:b/>
                <w:lang w:eastAsia="sl-SI"/>
              </w:rPr>
              <w:t xml:space="preserve"> methods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9E1DB7" w:rsidRPr="00F315AC" w14:paraId="52B92BAD" w14:textId="77777777" w:rsidTr="00E60441">
        <w:trPr>
          <w:trHeight w:val="535"/>
        </w:trPr>
        <w:tc>
          <w:tcPr>
            <w:tcW w:w="4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4DE0" w14:textId="2D8ACE8B" w:rsidR="009E1DB7" w:rsidRDefault="009E1DB7" w:rsidP="00E60441">
            <w:pPr>
              <w:pStyle w:val="alineja"/>
              <w:numPr>
                <w:ilvl w:val="0"/>
                <w:numId w:val="0"/>
              </w:numPr>
              <w:ind w:left="-54"/>
              <w:rPr>
                <w:rFonts w:asciiTheme="minorHAnsi" w:hAnsiTheme="minorHAnsi" w:cs="Calibri"/>
                <w:sz w:val="22"/>
                <w:szCs w:val="22"/>
              </w:rPr>
            </w:pPr>
            <w:r w:rsidRPr="00F315AC">
              <w:rPr>
                <w:rFonts w:asciiTheme="minorHAnsi" w:hAnsiTheme="minorHAnsi" w:cs="Calibri"/>
                <w:bCs/>
                <w:sz w:val="22"/>
                <w:szCs w:val="22"/>
              </w:rPr>
              <w:t>Opravljene obveznosti e-predavanj in e-vaj so pogoj za pristop k izpitu.</w:t>
            </w:r>
          </w:p>
          <w:p w14:paraId="37580A1A" w14:textId="77777777" w:rsidR="00E60441" w:rsidRDefault="00E60441" w:rsidP="00E60441">
            <w:pPr>
              <w:spacing w:after="0"/>
              <w:ind w:right="113"/>
              <w:jc w:val="both"/>
              <w:rPr>
                <w:rFonts w:asciiTheme="minorHAnsi" w:hAnsiTheme="minorHAnsi" w:cstheme="minorHAnsi"/>
              </w:rPr>
            </w:pPr>
          </w:p>
          <w:p w14:paraId="5EF4D273" w14:textId="2BFD8159" w:rsidR="009E1DB7" w:rsidRPr="00D45F14" w:rsidRDefault="009E1DB7" w:rsidP="00E60441">
            <w:pPr>
              <w:spacing w:after="0"/>
              <w:ind w:right="113"/>
              <w:jc w:val="both"/>
              <w:rPr>
                <w:rFonts w:asciiTheme="minorHAnsi" w:hAnsiTheme="minorHAnsi" w:cstheme="minorHAnsi"/>
                <w:b/>
              </w:rPr>
            </w:pPr>
            <w:r w:rsidRPr="00D45F14">
              <w:rPr>
                <w:rFonts w:asciiTheme="minorHAnsi" w:hAnsiTheme="minorHAnsi" w:cstheme="minorHAnsi"/>
              </w:rPr>
              <w:t xml:space="preserve">Pisni izpit. </w:t>
            </w:r>
          </w:p>
          <w:p w14:paraId="431F0C7C" w14:textId="77777777" w:rsidR="00260B4D" w:rsidRDefault="00260B4D" w:rsidP="00E60441">
            <w:pPr>
              <w:tabs>
                <w:tab w:val="left" w:pos="227"/>
              </w:tabs>
              <w:spacing w:after="0"/>
              <w:ind w:left="224" w:hanging="224"/>
              <w:jc w:val="both"/>
              <w:rPr>
                <w:rFonts w:eastAsia="Calibri"/>
                <w:lang w:eastAsia="sl-SI"/>
              </w:rPr>
            </w:pPr>
            <w:r>
              <w:rPr>
                <w:rFonts w:eastAsia="Calibri"/>
                <w:lang w:eastAsia="sl-SI"/>
              </w:rPr>
              <w:t>Projektna naloga.</w:t>
            </w:r>
          </w:p>
          <w:p w14:paraId="0841457F" w14:textId="77777777" w:rsidR="00E60441" w:rsidRDefault="00260B4D" w:rsidP="00E60441">
            <w:pPr>
              <w:tabs>
                <w:tab w:val="left" w:pos="227"/>
              </w:tabs>
              <w:spacing w:after="0"/>
              <w:ind w:left="224" w:hanging="224"/>
              <w:jc w:val="both"/>
              <w:rPr>
                <w:rFonts w:eastAsia="Calibri"/>
                <w:lang w:eastAsia="sl-SI"/>
              </w:rPr>
            </w:pPr>
            <w:r>
              <w:rPr>
                <w:rFonts w:eastAsia="Calibri"/>
                <w:lang w:eastAsia="sl-SI"/>
              </w:rPr>
              <w:t xml:space="preserve">Ocene sprotnih aktivnosti pri predavanjih in </w:t>
            </w:r>
          </w:p>
          <w:p w14:paraId="192EBBC1" w14:textId="193B0526" w:rsidR="00260B4D" w:rsidRDefault="00260B4D" w:rsidP="00E60441">
            <w:pPr>
              <w:tabs>
                <w:tab w:val="left" w:pos="227"/>
              </w:tabs>
              <w:spacing w:after="0"/>
              <w:ind w:left="224" w:hanging="224"/>
              <w:jc w:val="both"/>
              <w:rPr>
                <w:rFonts w:eastAsia="Calibri"/>
                <w:lang w:eastAsia="sl-SI"/>
              </w:rPr>
            </w:pPr>
            <w:r>
              <w:rPr>
                <w:rFonts w:eastAsia="Calibri"/>
                <w:lang w:eastAsia="sl-SI"/>
              </w:rPr>
              <w:t>e</w:t>
            </w:r>
            <w:r w:rsidR="00E60441">
              <w:rPr>
                <w:rFonts w:eastAsia="Calibri"/>
                <w:lang w:eastAsia="sl-SI"/>
              </w:rPr>
              <w:t>-</w:t>
            </w:r>
            <w:r>
              <w:rPr>
                <w:rFonts w:eastAsia="Calibri"/>
                <w:lang w:eastAsia="sl-SI"/>
              </w:rPr>
              <w:t>predavanjih.</w:t>
            </w:r>
          </w:p>
          <w:p w14:paraId="73D37E4C" w14:textId="18FD73B0" w:rsidR="009E1DB7" w:rsidRPr="00260B4D" w:rsidRDefault="00260B4D" w:rsidP="00E60441">
            <w:pPr>
              <w:spacing w:after="0"/>
              <w:jc w:val="both"/>
              <w:rPr>
                <w:rFonts w:eastAsia="Calibri"/>
                <w:lang w:eastAsia="sl-SI"/>
              </w:rPr>
            </w:pPr>
            <w:r>
              <w:rPr>
                <w:rFonts w:eastAsia="Calibri"/>
                <w:lang w:eastAsia="sl-SI"/>
              </w:rPr>
              <w:lastRenderedPageBreak/>
              <w:t>Ocene sprotnih aktivnosti pri vajah in e</w:t>
            </w:r>
            <w:r w:rsidR="00E60441">
              <w:rPr>
                <w:rFonts w:eastAsia="Calibri"/>
                <w:lang w:eastAsia="sl-SI"/>
              </w:rPr>
              <w:t>-</w:t>
            </w:r>
            <w:r>
              <w:rPr>
                <w:rFonts w:eastAsia="Calibri"/>
                <w:lang w:eastAsia="sl-SI"/>
              </w:rPr>
              <w:t>vajah.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0C99" w14:textId="77777777" w:rsidR="009E1DB7" w:rsidRDefault="009E1DB7" w:rsidP="00E60441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7CCCC707" w14:textId="77777777" w:rsidR="009E1DB7" w:rsidRDefault="009E1DB7" w:rsidP="00E60441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053FFEAB" w14:textId="77777777" w:rsidR="009E1DB7" w:rsidRDefault="009E1DB7" w:rsidP="00E60441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  <w:p w14:paraId="0F4C0829" w14:textId="4E15ACB7" w:rsidR="009E1DB7" w:rsidRDefault="00260B4D" w:rsidP="00E60441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4</w:t>
            </w:r>
            <w:r w:rsidR="009E1DB7">
              <w:rPr>
                <w:rFonts w:eastAsia="Calibri" w:cs="Calibri"/>
                <w:lang w:eastAsia="sl-SI"/>
              </w:rPr>
              <w:t>0%</w:t>
            </w:r>
          </w:p>
          <w:p w14:paraId="0C2F2A20" w14:textId="73FB57B2" w:rsidR="00260B4D" w:rsidRPr="00260B4D" w:rsidRDefault="00260B4D" w:rsidP="00E60441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260B4D">
              <w:rPr>
                <w:rFonts w:eastAsia="Calibri" w:cs="Calibri"/>
                <w:bCs/>
                <w:lang w:eastAsia="sl-SI"/>
              </w:rPr>
              <w:t>40%</w:t>
            </w:r>
          </w:p>
          <w:p w14:paraId="086FCB72" w14:textId="0C604E17" w:rsidR="00260B4D" w:rsidRPr="00260B4D" w:rsidRDefault="00260B4D" w:rsidP="00E60441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260B4D">
              <w:rPr>
                <w:rFonts w:eastAsia="Calibri" w:cs="Calibri"/>
                <w:bCs/>
                <w:lang w:eastAsia="sl-SI"/>
              </w:rPr>
              <w:t>10%</w:t>
            </w:r>
          </w:p>
          <w:p w14:paraId="43DC8245" w14:textId="77777777" w:rsidR="00260B4D" w:rsidRPr="00260B4D" w:rsidRDefault="00260B4D" w:rsidP="00E60441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  <w:p w14:paraId="6252E3BC" w14:textId="65A076BC" w:rsidR="009E1DB7" w:rsidRPr="00E60441" w:rsidRDefault="00260B4D" w:rsidP="00E60441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260B4D">
              <w:rPr>
                <w:rFonts w:eastAsia="Calibri" w:cs="Calibri"/>
                <w:bCs/>
                <w:lang w:eastAsia="sl-SI"/>
              </w:rPr>
              <w:lastRenderedPageBreak/>
              <w:t>10%</w:t>
            </w:r>
          </w:p>
        </w:tc>
        <w:tc>
          <w:tcPr>
            <w:tcW w:w="4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3E3E" w14:textId="179FC422" w:rsidR="009E1DB7" w:rsidRPr="00260B4D" w:rsidRDefault="009E1DB7" w:rsidP="00E60441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F315AC">
              <w:rPr>
                <w:rFonts w:asciiTheme="minorHAnsi" w:hAnsiTheme="minorHAnsi" w:cs="Calibri"/>
                <w:bCs/>
              </w:rPr>
              <w:lastRenderedPageBreak/>
              <w:t>Successful completion of e-lectures and e-tutorials is a prerequisite for entering the exam.</w:t>
            </w:r>
            <w:r w:rsidRPr="00260B4D">
              <w:rPr>
                <w:rFonts w:asciiTheme="minorHAnsi" w:hAnsiTheme="minorHAnsi" w:cstheme="minorHAnsi"/>
              </w:rPr>
              <w:t>Written exam.</w:t>
            </w:r>
          </w:p>
          <w:p w14:paraId="47BF467C" w14:textId="77777777" w:rsidR="00260B4D" w:rsidRPr="006153CB" w:rsidRDefault="00260B4D" w:rsidP="00E60441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  <w:r w:rsidRPr="006153CB">
              <w:rPr>
                <w:rFonts w:eastAsia="Calibri" w:cs="Calibri"/>
                <w:lang w:eastAsia="sl-SI"/>
              </w:rPr>
              <w:t>Project work.</w:t>
            </w:r>
          </w:p>
          <w:p w14:paraId="2843E196" w14:textId="77777777" w:rsidR="00260B4D" w:rsidRDefault="00260B4D" w:rsidP="00E60441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Grades from</w:t>
            </w:r>
            <w:r w:rsidRPr="006153CB">
              <w:rPr>
                <w:rFonts w:eastAsia="Calibri" w:cs="Calibri"/>
                <w:lang w:eastAsia="sl-SI"/>
              </w:rPr>
              <w:t xml:space="preserve"> activities </w:t>
            </w:r>
            <w:r>
              <w:rPr>
                <w:rFonts w:eastAsia="Calibri" w:cs="Calibri"/>
                <w:lang w:eastAsia="sl-SI"/>
              </w:rPr>
              <w:t>at</w:t>
            </w:r>
            <w:r w:rsidRPr="006153CB">
              <w:rPr>
                <w:rFonts w:eastAsia="Calibri" w:cs="Calibri"/>
                <w:lang w:eastAsia="sl-SI"/>
              </w:rPr>
              <w:t xml:space="preserve"> lectures and e-lectures.</w:t>
            </w:r>
          </w:p>
          <w:p w14:paraId="20F78515" w14:textId="50B612C8" w:rsidR="009E1DB7" w:rsidRPr="00260B4D" w:rsidRDefault="00260B4D" w:rsidP="00E60441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lastRenderedPageBreak/>
              <w:t>Grades from</w:t>
            </w:r>
            <w:r w:rsidRPr="006153CB">
              <w:rPr>
                <w:rFonts w:eastAsia="Calibri" w:cs="Calibri"/>
                <w:lang w:eastAsia="sl-SI"/>
              </w:rPr>
              <w:t xml:space="preserve"> activities </w:t>
            </w:r>
            <w:r>
              <w:rPr>
                <w:rFonts w:eastAsia="Calibri" w:cs="Calibri"/>
                <w:lang w:eastAsia="sl-SI"/>
              </w:rPr>
              <w:t>at</w:t>
            </w:r>
            <w:r w:rsidRPr="006153CB">
              <w:rPr>
                <w:rFonts w:eastAsia="Calibri" w:cs="Calibri"/>
                <w:lang w:eastAsia="sl-SI"/>
              </w:rPr>
              <w:t xml:space="preserve"> tutorials and e-tutorials.</w:t>
            </w:r>
          </w:p>
        </w:tc>
      </w:tr>
      <w:tr w:rsidR="00E60441" w:rsidRPr="0049183D" w14:paraId="76635165" w14:textId="77777777" w:rsidTr="00E60441">
        <w:tc>
          <w:tcPr>
            <w:tcW w:w="9923" w:type="dxa"/>
            <w:gridSpan w:val="20"/>
            <w:tcBorders>
              <w:left w:val="nil"/>
              <w:right w:val="nil"/>
            </w:tcBorders>
          </w:tcPr>
          <w:p w14:paraId="6060A33D" w14:textId="77777777" w:rsidR="00E60441" w:rsidRPr="0049183D" w:rsidRDefault="00E60441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</w:tr>
      <w:tr w:rsidR="005A11E4" w:rsidRPr="0049183D" w14:paraId="0D823691" w14:textId="77777777" w:rsidTr="00E60441">
        <w:tc>
          <w:tcPr>
            <w:tcW w:w="9923" w:type="dxa"/>
            <w:gridSpan w:val="20"/>
            <w:tcBorders>
              <w:left w:val="nil"/>
              <w:bottom w:val="single" w:sz="4" w:space="0" w:color="auto"/>
              <w:right w:val="nil"/>
            </w:tcBorders>
          </w:tcPr>
          <w:p w14:paraId="5A33BA62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Reference nosilca / </w:t>
            </w:r>
            <w:r>
              <w:rPr>
                <w:rFonts w:eastAsia="Calibri" w:cs="Calibri"/>
                <w:b/>
                <w:lang w:eastAsia="sl-SI"/>
              </w:rPr>
              <w:t>Course coordinator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's references: </w:t>
            </w:r>
          </w:p>
        </w:tc>
      </w:tr>
      <w:tr w:rsidR="009E1DB7" w:rsidRPr="009E1DB7" w14:paraId="7CA3B049" w14:textId="77777777" w:rsidTr="00E60441">
        <w:trPr>
          <w:trHeight w:val="20"/>
        </w:trPr>
        <w:tc>
          <w:tcPr>
            <w:tcW w:w="99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9F5B" w14:textId="77777777" w:rsidR="00260B4D" w:rsidRDefault="00260B4D" w:rsidP="007C6F41">
            <w:pPr>
              <w:pStyle w:val="Odstavekseznama"/>
              <w:numPr>
                <w:ilvl w:val="0"/>
                <w:numId w:val="8"/>
              </w:numPr>
              <w:jc w:val="both"/>
            </w:pPr>
            <w:r>
              <w:t xml:space="preserve">KAMNIK, Rok, NEKREP, Matjaž P., TOPOLŠEK, Darja. Using the scanners and drone for </w:t>
            </w:r>
            <w:r w:rsidRPr="00253E32">
              <w:t>comparison of point cloud accuracy at traffic accident analysis. Accident analysis and prevention, ISSN 0001-4575. [Print ed.], Feb. 2020, vol. 135, str. 1-9, doi: 10.1016/j.aap.2019.105391. [COBISS.SI-ID 22872086].</w:t>
            </w:r>
          </w:p>
          <w:p w14:paraId="59805926" w14:textId="77777777" w:rsidR="00260B4D" w:rsidRDefault="00260B4D" w:rsidP="007C6F41">
            <w:pPr>
              <w:pStyle w:val="Odstavekseznama"/>
              <w:numPr>
                <w:ilvl w:val="0"/>
                <w:numId w:val="8"/>
              </w:numPr>
              <w:jc w:val="both"/>
            </w:pPr>
            <w:r w:rsidRPr="00253E32">
              <w:t>TOPOLŠEK, Darja, BABIĆ, Dario, BABIĆ, Darko, CVAHTE OJSTERŠEK, Tina. Factors influencing the purchase intention of autonomous cars. Sustainability, ISSN 2071-1050, 2020, vol. 12, iss. 24, str. [1]-16, ilustr. https://doi.org/10.3390/su122410303. [COBISS.SI-ID 42536963].</w:t>
            </w:r>
          </w:p>
          <w:p w14:paraId="2BE8E0A5" w14:textId="3004B2F7" w:rsidR="00260B4D" w:rsidRDefault="00260B4D" w:rsidP="007C6F41">
            <w:pPr>
              <w:pStyle w:val="Odstavekseznama"/>
              <w:numPr>
                <w:ilvl w:val="0"/>
                <w:numId w:val="8"/>
              </w:numPr>
              <w:jc w:val="both"/>
            </w:pPr>
            <w:r w:rsidRPr="00253E32">
              <w:t>CVAHTE OJSTERŠEK, Tina, TOPOLŠEK, Darja. Eye tracking use in researching driver distraction : a scientometric and qualitative literature review approach. Journal of eye movement research, ISSN 1995-8692, 2019, vol. 12, no. 3, str. 1-30, ilustr. https://doi.org/10.16910/jemr.12.3.5, doi: 10.16910/jemr.1</w:t>
            </w:r>
            <w:r>
              <w:t>2.3.5. [COBISS.SI-ID 513043517]</w:t>
            </w:r>
            <w:r w:rsidR="00E60441">
              <w:t>.</w:t>
            </w:r>
          </w:p>
          <w:p w14:paraId="1FFEEB9E" w14:textId="77777777" w:rsidR="00260B4D" w:rsidRDefault="00260B4D" w:rsidP="007C6F41">
            <w:pPr>
              <w:pStyle w:val="Odstavekseznama"/>
              <w:numPr>
                <w:ilvl w:val="0"/>
                <w:numId w:val="8"/>
              </w:numPr>
              <w:jc w:val="both"/>
            </w:pPr>
            <w:r w:rsidRPr="00253E32">
              <w:t>KRAMAR, Uroš, DRAGAN, Dejan, TOPOLŠEK, Darja. The holistic approach to urban mobility planning with a modified focus group, SWOT, and fuzzy analytical hierarchical process. Sustainability, ISSN 2071-1050, 2019, vol. 11, iss. 23, str. [1]-29, ilustr. https://doi.org/10.3390/su11236599, doi: 10.3390/su11236599. [COBISS.SI-ID 513044029].</w:t>
            </w:r>
          </w:p>
          <w:p w14:paraId="11A1BF6E" w14:textId="77777777" w:rsidR="00260B4D" w:rsidRDefault="00260B4D" w:rsidP="007C6F41">
            <w:pPr>
              <w:pStyle w:val="Odstavekseznama"/>
              <w:numPr>
                <w:ilvl w:val="0"/>
                <w:numId w:val="8"/>
              </w:numPr>
              <w:jc w:val="both"/>
            </w:pPr>
            <w:r w:rsidRPr="00253E32">
              <w:t>TOPOLŠEK, Darja, DRAGAN, Dejan. Relationships between the motorcyclists' behavioural perception and their actual behaviour. Transport, ISSN 1648-3480. [Online ed.], 2018, no. 1, vol. 33, str. 151-164. https://journals.vgtu.lt/index.php/Transport/article/view/151, doi: 10.3846/16484142.2016.1141371. [COBISS.SI-ID 512755261].</w:t>
            </w:r>
          </w:p>
          <w:p w14:paraId="053986D4" w14:textId="3F526C12" w:rsidR="00260B4D" w:rsidRDefault="00260B4D" w:rsidP="007C6F41">
            <w:pPr>
              <w:pStyle w:val="Odstavekseznama"/>
              <w:numPr>
                <w:ilvl w:val="0"/>
                <w:numId w:val="8"/>
              </w:numPr>
              <w:jc w:val="both"/>
            </w:pPr>
            <w:r w:rsidRPr="00253E32">
              <w:t>TOPOLŠEK, Darja, AREH, Igor, CVAHTE OJSTERŠEK, Tina. Examination of driver detection of roadside traffic signs and advertisements using eye tracking. Transportation research. Part F, Traffic psychology and behaviour, ISSN 1369-8478. [Print ed.], Nov. 2016, vol. 43, str. 212-224, ilustr. http://dx.doi.org/10.1016/j.trf.2016.10.002, doi: 10.1016/j.trf.2016.10.002</w:t>
            </w:r>
            <w:r>
              <w:t>. [COBISS.SI-ID 3228394]</w:t>
            </w:r>
            <w:r w:rsidR="00E60441">
              <w:t>.</w:t>
            </w:r>
          </w:p>
          <w:p w14:paraId="4A3C0BF6" w14:textId="4C7E9AC7" w:rsidR="009E1DB7" w:rsidRPr="00F66A16" w:rsidRDefault="00260B4D" w:rsidP="00E60441">
            <w:pPr>
              <w:pStyle w:val="Odstavekseznama"/>
              <w:ind w:left="35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53E32">
              <w:t>TOPOLŠEK, Darja, CVAHTE OJSTERŠEK, Tina. Exploring public attitudes towards urban access regulation schemes : case of Maribor. V: BRDULAK, Anna (ur.), BRDULAK, Halina (ur.). Happy city : how to plan and create the best livable area for the people, (Ecoproduction, ISSN 2193-4614). [S. l.]: Springer. cop. 2017, str. 303-318, ilustr. https://link.springer.com/chapter/10.1007/978-3-319-49899-7_17. [COBISS.SI-ID 512833085].</w:t>
            </w:r>
          </w:p>
        </w:tc>
      </w:tr>
    </w:tbl>
    <w:p w14:paraId="01D00855" w14:textId="340A1FBC" w:rsidR="00F57C69" w:rsidRPr="00F57C69" w:rsidRDefault="00F57C69" w:rsidP="00F66A16">
      <w:pPr>
        <w:pStyle w:val="Pripomba"/>
        <w:rPr>
          <w:color w:val="C00000"/>
        </w:rPr>
      </w:pPr>
    </w:p>
    <w:sectPr w:rsidR="00F57C69" w:rsidRPr="00F57C69" w:rsidSect="00276596"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2096C" w14:textId="77777777" w:rsidR="00223C15" w:rsidRDefault="00223C15" w:rsidP="00703ADE">
      <w:pPr>
        <w:spacing w:after="0"/>
      </w:pPr>
      <w:r>
        <w:separator/>
      </w:r>
    </w:p>
  </w:endnote>
  <w:endnote w:type="continuationSeparator" w:id="0">
    <w:p w14:paraId="7BBB2909" w14:textId="77777777" w:rsidR="00223C15" w:rsidRDefault="00223C15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53DF" w14:textId="775E5257" w:rsidR="00A0202D" w:rsidRPr="007564BD" w:rsidRDefault="00A0202D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C34A3C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C34A3C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A271C" w14:textId="77777777" w:rsidR="00223C15" w:rsidRDefault="00223C15" w:rsidP="00703ADE">
      <w:pPr>
        <w:spacing w:after="0"/>
      </w:pPr>
      <w:r>
        <w:separator/>
      </w:r>
    </w:p>
  </w:footnote>
  <w:footnote w:type="continuationSeparator" w:id="0">
    <w:p w14:paraId="481626D1" w14:textId="77777777" w:rsidR="00223C15" w:rsidRDefault="00223C15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3473"/>
    <w:multiLevelType w:val="multilevel"/>
    <w:tmpl w:val="8DC096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1D38122E"/>
    <w:multiLevelType w:val="hybridMultilevel"/>
    <w:tmpl w:val="D5F0EC2C"/>
    <w:lvl w:ilvl="0" w:tplc="E67832B4">
      <w:start w:val="1"/>
      <w:numFmt w:val="bullet"/>
      <w:pStyle w:val="Naslov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6C285F"/>
    <w:multiLevelType w:val="hybridMultilevel"/>
    <w:tmpl w:val="CB202E0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0456B4"/>
    <w:multiLevelType w:val="hybridMultilevel"/>
    <w:tmpl w:val="F2900B7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ED3B1E"/>
    <w:multiLevelType w:val="hybridMultilevel"/>
    <w:tmpl w:val="65E46D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AA8444">
      <w:numFmt w:val="bullet"/>
      <w:lvlText w:val="•"/>
      <w:lvlJc w:val="left"/>
      <w:pPr>
        <w:ind w:left="1425" w:hanging="705"/>
      </w:pPr>
      <w:rPr>
        <w:rFonts w:ascii="Calibri" w:eastAsia="Times New Roman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F72C4D"/>
    <w:multiLevelType w:val="hybridMultilevel"/>
    <w:tmpl w:val="672C9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B0FD2"/>
    <w:multiLevelType w:val="hybridMultilevel"/>
    <w:tmpl w:val="5E66F8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7807B5"/>
    <w:multiLevelType w:val="hybridMultilevel"/>
    <w:tmpl w:val="6D9C84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521289"/>
    <w:multiLevelType w:val="hybridMultilevel"/>
    <w:tmpl w:val="3FB6B29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241DFC"/>
    <w:multiLevelType w:val="hybridMultilevel"/>
    <w:tmpl w:val="71E01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696FEF"/>
    <w:multiLevelType w:val="hybridMultilevel"/>
    <w:tmpl w:val="1AAC83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AEED2">
      <w:start w:val="1"/>
      <w:numFmt w:val="bullet"/>
      <w:pStyle w:val="alineja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 w:tplc="6EC0357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i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64B24"/>
    <w:multiLevelType w:val="hybridMultilevel"/>
    <w:tmpl w:val="3CF60BF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2"/>
  </w:num>
  <w:num w:numId="5">
    <w:abstractNumId w:val="11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  <w:num w:numId="11">
    <w:abstractNumId w:val="5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xtzA3MDezMDIwMjRU0lEKTi0uzszPAykwrAUA8qdZbCwAAAA="/>
  </w:docVars>
  <w:rsids>
    <w:rsidRoot w:val="00703ADE"/>
    <w:rsid w:val="000127B1"/>
    <w:rsid w:val="0002009C"/>
    <w:rsid w:val="00046B40"/>
    <w:rsid w:val="00053C25"/>
    <w:rsid w:val="000625CC"/>
    <w:rsid w:val="00067866"/>
    <w:rsid w:val="000703F7"/>
    <w:rsid w:val="00072F0F"/>
    <w:rsid w:val="000761B7"/>
    <w:rsid w:val="0009073D"/>
    <w:rsid w:val="00090D1C"/>
    <w:rsid w:val="000920D2"/>
    <w:rsid w:val="0009636B"/>
    <w:rsid w:val="000A19DD"/>
    <w:rsid w:val="000B0A40"/>
    <w:rsid w:val="000B587A"/>
    <w:rsid w:val="000B67E3"/>
    <w:rsid w:val="000B6A23"/>
    <w:rsid w:val="000E7D4E"/>
    <w:rsid w:val="000F1B74"/>
    <w:rsid w:val="000F40D2"/>
    <w:rsid w:val="000F6746"/>
    <w:rsid w:val="000F79B6"/>
    <w:rsid w:val="001011C0"/>
    <w:rsid w:val="00102023"/>
    <w:rsid w:val="00103E49"/>
    <w:rsid w:val="0010411B"/>
    <w:rsid w:val="001101ED"/>
    <w:rsid w:val="001213B9"/>
    <w:rsid w:val="001308AB"/>
    <w:rsid w:val="00135DE0"/>
    <w:rsid w:val="00135E03"/>
    <w:rsid w:val="001577DF"/>
    <w:rsid w:val="00160EFE"/>
    <w:rsid w:val="0016104C"/>
    <w:rsid w:val="001710DF"/>
    <w:rsid w:val="001762E9"/>
    <w:rsid w:val="0018344C"/>
    <w:rsid w:val="001848D1"/>
    <w:rsid w:val="0018780C"/>
    <w:rsid w:val="00190965"/>
    <w:rsid w:val="00196F28"/>
    <w:rsid w:val="001B40D3"/>
    <w:rsid w:val="001B4E07"/>
    <w:rsid w:val="001C2F25"/>
    <w:rsid w:val="001C4698"/>
    <w:rsid w:val="001C55C4"/>
    <w:rsid w:val="001C65D2"/>
    <w:rsid w:val="001D35E7"/>
    <w:rsid w:val="001E2942"/>
    <w:rsid w:val="001E46A5"/>
    <w:rsid w:val="001E5BFE"/>
    <w:rsid w:val="001F39D3"/>
    <w:rsid w:val="001F3E26"/>
    <w:rsid w:val="00205467"/>
    <w:rsid w:val="0021144D"/>
    <w:rsid w:val="00216CD3"/>
    <w:rsid w:val="00217CEC"/>
    <w:rsid w:val="0022024F"/>
    <w:rsid w:val="002235E2"/>
    <w:rsid w:val="00223C15"/>
    <w:rsid w:val="00223EAB"/>
    <w:rsid w:val="0023759A"/>
    <w:rsid w:val="0024394D"/>
    <w:rsid w:val="00243C6A"/>
    <w:rsid w:val="00250591"/>
    <w:rsid w:val="00252DF2"/>
    <w:rsid w:val="002548DB"/>
    <w:rsid w:val="00260B4D"/>
    <w:rsid w:val="00273DDF"/>
    <w:rsid w:val="00276596"/>
    <w:rsid w:val="0027778B"/>
    <w:rsid w:val="002805E7"/>
    <w:rsid w:val="0028075A"/>
    <w:rsid w:val="00292898"/>
    <w:rsid w:val="00294872"/>
    <w:rsid w:val="002B19A5"/>
    <w:rsid w:val="002B452B"/>
    <w:rsid w:val="002B668D"/>
    <w:rsid w:val="002C2E5E"/>
    <w:rsid w:val="002C44F3"/>
    <w:rsid w:val="002C7D0D"/>
    <w:rsid w:val="002F418C"/>
    <w:rsid w:val="002F465F"/>
    <w:rsid w:val="003037B1"/>
    <w:rsid w:val="003168D8"/>
    <w:rsid w:val="00317A91"/>
    <w:rsid w:val="00324BE4"/>
    <w:rsid w:val="0033062E"/>
    <w:rsid w:val="00332EA1"/>
    <w:rsid w:val="00334FD5"/>
    <w:rsid w:val="00341880"/>
    <w:rsid w:val="003430C7"/>
    <w:rsid w:val="00344834"/>
    <w:rsid w:val="003463F9"/>
    <w:rsid w:val="00351624"/>
    <w:rsid w:val="00355781"/>
    <w:rsid w:val="00360075"/>
    <w:rsid w:val="00360354"/>
    <w:rsid w:val="003614F0"/>
    <w:rsid w:val="0036175E"/>
    <w:rsid w:val="00377D01"/>
    <w:rsid w:val="003874C0"/>
    <w:rsid w:val="003B7EBC"/>
    <w:rsid w:val="003C3F1B"/>
    <w:rsid w:val="003C437B"/>
    <w:rsid w:val="003C5A56"/>
    <w:rsid w:val="003C61AC"/>
    <w:rsid w:val="003D6370"/>
    <w:rsid w:val="003F0EA3"/>
    <w:rsid w:val="003F667E"/>
    <w:rsid w:val="0040317F"/>
    <w:rsid w:val="00405338"/>
    <w:rsid w:val="0040670E"/>
    <w:rsid w:val="00410DC6"/>
    <w:rsid w:val="004136FD"/>
    <w:rsid w:val="004203B7"/>
    <w:rsid w:val="004246C2"/>
    <w:rsid w:val="00425A8B"/>
    <w:rsid w:val="00425D4B"/>
    <w:rsid w:val="00435696"/>
    <w:rsid w:val="00451CC8"/>
    <w:rsid w:val="0046780A"/>
    <w:rsid w:val="00467C3E"/>
    <w:rsid w:val="00467D47"/>
    <w:rsid w:val="0048408C"/>
    <w:rsid w:val="0049183D"/>
    <w:rsid w:val="004A073E"/>
    <w:rsid w:val="004A30A0"/>
    <w:rsid w:val="004A33B9"/>
    <w:rsid w:val="004A4DF3"/>
    <w:rsid w:val="004A69AF"/>
    <w:rsid w:val="004B3297"/>
    <w:rsid w:val="004B41A0"/>
    <w:rsid w:val="004B54C6"/>
    <w:rsid w:val="004B7170"/>
    <w:rsid w:val="004C1D5D"/>
    <w:rsid w:val="004C28F8"/>
    <w:rsid w:val="004C5879"/>
    <w:rsid w:val="004C66E8"/>
    <w:rsid w:val="004D11DE"/>
    <w:rsid w:val="004F484B"/>
    <w:rsid w:val="004F4E9E"/>
    <w:rsid w:val="004F5050"/>
    <w:rsid w:val="00500DB6"/>
    <w:rsid w:val="005029C6"/>
    <w:rsid w:val="00514311"/>
    <w:rsid w:val="00525A19"/>
    <w:rsid w:val="00525BD5"/>
    <w:rsid w:val="00525C1D"/>
    <w:rsid w:val="00561596"/>
    <w:rsid w:val="00563340"/>
    <w:rsid w:val="005701F4"/>
    <w:rsid w:val="0057190E"/>
    <w:rsid w:val="005745BC"/>
    <w:rsid w:val="00581E1B"/>
    <w:rsid w:val="00583B3F"/>
    <w:rsid w:val="00587381"/>
    <w:rsid w:val="00597F23"/>
    <w:rsid w:val="005A013D"/>
    <w:rsid w:val="005A11E4"/>
    <w:rsid w:val="005A5638"/>
    <w:rsid w:val="005A57A2"/>
    <w:rsid w:val="005A7A79"/>
    <w:rsid w:val="005B1D5F"/>
    <w:rsid w:val="005C04B5"/>
    <w:rsid w:val="005C15C1"/>
    <w:rsid w:val="005C62B2"/>
    <w:rsid w:val="005D3E13"/>
    <w:rsid w:val="005D7191"/>
    <w:rsid w:val="005E3061"/>
    <w:rsid w:val="005F16AE"/>
    <w:rsid w:val="005F49D5"/>
    <w:rsid w:val="006016DF"/>
    <w:rsid w:val="00606BB3"/>
    <w:rsid w:val="006135EC"/>
    <w:rsid w:val="0061471B"/>
    <w:rsid w:val="006261BD"/>
    <w:rsid w:val="00627C0D"/>
    <w:rsid w:val="00632249"/>
    <w:rsid w:val="00645458"/>
    <w:rsid w:val="00667ED1"/>
    <w:rsid w:val="0067410C"/>
    <w:rsid w:val="00683B5F"/>
    <w:rsid w:val="00685B29"/>
    <w:rsid w:val="006863A2"/>
    <w:rsid w:val="0068792F"/>
    <w:rsid w:val="0069578E"/>
    <w:rsid w:val="00696217"/>
    <w:rsid w:val="00697296"/>
    <w:rsid w:val="006A20F0"/>
    <w:rsid w:val="006B5AC7"/>
    <w:rsid w:val="006C2291"/>
    <w:rsid w:val="006C734C"/>
    <w:rsid w:val="006D5C5A"/>
    <w:rsid w:val="006E1095"/>
    <w:rsid w:val="006E6646"/>
    <w:rsid w:val="006E732F"/>
    <w:rsid w:val="006F18FF"/>
    <w:rsid w:val="006F2D77"/>
    <w:rsid w:val="006F4A39"/>
    <w:rsid w:val="00701B0E"/>
    <w:rsid w:val="00703ADE"/>
    <w:rsid w:val="00706D9B"/>
    <w:rsid w:val="00707193"/>
    <w:rsid w:val="00714E30"/>
    <w:rsid w:val="0072193C"/>
    <w:rsid w:val="007264DD"/>
    <w:rsid w:val="00743D06"/>
    <w:rsid w:val="0074545B"/>
    <w:rsid w:val="0075135E"/>
    <w:rsid w:val="00754FB9"/>
    <w:rsid w:val="0076751A"/>
    <w:rsid w:val="0077341A"/>
    <w:rsid w:val="00781C83"/>
    <w:rsid w:val="00784B83"/>
    <w:rsid w:val="00786312"/>
    <w:rsid w:val="0078644D"/>
    <w:rsid w:val="00792301"/>
    <w:rsid w:val="0079494D"/>
    <w:rsid w:val="007A28AA"/>
    <w:rsid w:val="007A29FA"/>
    <w:rsid w:val="007A77A3"/>
    <w:rsid w:val="007B0307"/>
    <w:rsid w:val="007B0935"/>
    <w:rsid w:val="007C6F41"/>
    <w:rsid w:val="007C7DAA"/>
    <w:rsid w:val="007E49AE"/>
    <w:rsid w:val="007F2C61"/>
    <w:rsid w:val="00802619"/>
    <w:rsid w:val="008102C2"/>
    <w:rsid w:val="00811D25"/>
    <w:rsid w:val="00811EFC"/>
    <w:rsid w:val="00811FB5"/>
    <w:rsid w:val="008157D7"/>
    <w:rsid w:val="008320B1"/>
    <w:rsid w:val="00847982"/>
    <w:rsid w:val="00854394"/>
    <w:rsid w:val="0085546F"/>
    <w:rsid w:val="00855585"/>
    <w:rsid w:val="00863826"/>
    <w:rsid w:val="00871EDA"/>
    <w:rsid w:val="00873A16"/>
    <w:rsid w:val="00873F0D"/>
    <w:rsid w:val="00874CA5"/>
    <w:rsid w:val="00882A11"/>
    <w:rsid w:val="008A0A06"/>
    <w:rsid w:val="008A1F0F"/>
    <w:rsid w:val="008A6780"/>
    <w:rsid w:val="008A7904"/>
    <w:rsid w:val="008B2370"/>
    <w:rsid w:val="008B76CA"/>
    <w:rsid w:val="008C735D"/>
    <w:rsid w:val="008C7A40"/>
    <w:rsid w:val="008D3A8F"/>
    <w:rsid w:val="009044E0"/>
    <w:rsid w:val="009060E2"/>
    <w:rsid w:val="00910644"/>
    <w:rsid w:val="009112EA"/>
    <w:rsid w:val="00913A49"/>
    <w:rsid w:val="009222E8"/>
    <w:rsid w:val="009322AD"/>
    <w:rsid w:val="00957F7A"/>
    <w:rsid w:val="00961B35"/>
    <w:rsid w:val="00961C9A"/>
    <w:rsid w:val="00961FCE"/>
    <w:rsid w:val="0096279B"/>
    <w:rsid w:val="00991CF4"/>
    <w:rsid w:val="009958CA"/>
    <w:rsid w:val="009B077A"/>
    <w:rsid w:val="009B26AB"/>
    <w:rsid w:val="009C276B"/>
    <w:rsid w:val="009D11AD"/>
    <w:rsid w:val="009D6D7A"/>
    <w:rsid w:val="009E1DB7"/>
    <w:rsid w:val="009E77B5"/>
    <w:rsid w:val="009E7CBD"/>
    <w:rsid w:val="009F24ED"/>
    <w:rsid w:val="009F37EA"/>
    <w:rsid w:val="009F4070"/>
    <w:rsid w:val="00A000D4"/>
    <w:rsid w:val="00A019CC"/>
    <w:rsid w:val="00A0202D"/>
    <w:rsid w:val="00A13321"/>
    <w:rsid w:val="00A25CCF"/>
    <w:rsid w:val="00A340FC"/>
    <w:rsid w:val="00A34B64"/>
    <w:rsid w:val="00A47212"/>
    <w:rsid w:val="00A52D9A"/>
    <w:rsid w:val="00A5557A"/>
    <w:rsid w:val="00A56956"/>
    <w:rsid w:val="00A57D74"/>
    <w:rsid w:val="00A604B1"/>
    <w:rsid w:val="00A722F0"/>
    <w:rsid w:val="00A7653F"/>
    <w:rsid w:val="00A81452"/>
    <w:rsid w:val="00A87467"/>
    <w:rsid w:val="00A87ADF"/>
    <w:rsid w:val="00A87CC4"/>
    <w:rsid w:val="00A95C47"/>
    <w:rsid w:val="00AC243A"/>
    <w:rsid w:val="00AC457E"/>
    <w:rsid w:val="00AC50D7"/>
    <w:rsid w:val="00AC7DE5"/>
    <w:rsid w:val="00AE1254"/>
    <w:rsid w:val="00AF382F"/>
    <w:rsid w:val="00B01725"/>
    <w:rsid w:val="00B05658"/>
    <w:rsid w:val="00B07275"/>
    <w:rsid w:val="00B07A68"/>
    <w:rsid w:val="00B22BAA"/>
    <w:rsid w:val="00B32886"/>
    <w:rsid w:val="00B41FC2"/>
    <w:rsid w:val="00B44133"/>
    <w:rsid w:val="00B63298"/>
    <w:rsid w:val="00B63E7C"/>
    <w:rsid w:val="00B70B70"/>
    <w:rsid w:val="00B733D9"/>
    <w:rsid w:val="00BC1823"/>
    <w:rsid w:val="00BC3476"/>
    <w:rsid w:val="00BC4876"/>
    <w:rsid w:val="00BC74F8"/>
    <w:rsid w:val="00BC7DC9"/>
    <w:rsid w:val="00BD50BF"/>
    <w:rsid w:val="00BE08A0"/>
    <w:rsid w:val="00BE32A6"/>
    <w:rsid w:val="00BE704D"/>
    <w:rsid w:val="00BE7375"/>
    <w:rsid w:val="00BF0A49"/>
    <w:rsid w:val="00BF5977"/>
    <w:rsid w:val="00BF5A0E"/>
    <w:rsid w:val="00BF7B2D"/>
    <w:rsid w:val="00C06952"/>
    <w:rsid w:val="00C212EF"/>
    <w:rsid w:val="00C23384"/>
    <w:rsid w:val="00C26205"/>
    <w:rsid w:val="00C31227"/>
    <w:rsid w:val="00C34A3C"/>
    <w:rsid w:val="00C35629"/>
    <w:rsid w:val="00C4086F"/>
    <w:rsid w:val="00C63A16"/>
    <w:rsid w:val="00C65B60"/>
    <w:rsid w:val="00C72B00"/>
    <w:rsid w:val="00C73CAE"/>
    <w:rsid w:val="00C80F10"/>
    <w:rsid w:val="00C83735"/>
    <w:rsid w:val="00C92969"/>
    <w:rsid w:val="00CA5AFA"/>
    <w:rsid w:val="00CB4FA1"/>
    <w:rsid w:val="00CC2E15"/>
    <w:rsid w:val="00CC7B6E"/>
    <w:rsid w:val="00CC7D6E"/>
    <w:rsid w:val="00CD3B38"/>
    <w:rsid w:val="00CD40B9"/>
    <w:rsid w:val="00CE0FA9"/>
    <w:rsid w:val="00CE20E4"/>
    <w:rsid w:val="00CE30CF"/>
    <w:rsid w:val="00CE4CA3"/>
    <w:rsid w:val="00CF7213"/>
    <w:rsid w:val="00D023A0"/>
    <w:rsid w:val="00D07034"/>
    <w:rsid w:val="00D1099E"/>
    <w:rsid w:val="00D12BC2"/>
    <w:rsid w:val="00D176A8"/>
    <w:rsid w:val="00D17CFB"/>
    <w:rsid w:val="00D216BD"/>
    <w:rsid w:val="00D235BA"/>
    <w:rsid w:val="00D36EFF"/>
    <w:rsid w:val="00D4141E"/>
    <w:rsid w:val="00D55D82"/>
    <w:rsid w:val="00D56DEF"/>
    <w:rsid w:val="00D575DA"/>
    <w:rsid w:val="00D634CF"/>
    <w:rsid w:val="00D656E4"/>
    <w:rsid w:val="00D822FB"/>
    <w:rsid w:val="00D85A1E"/>
    <w:rsid w:val="00D93134"/>
    <w:rsid w:val="00D94920"/>
    <w:rsid w:val="00DB2805"/>
    <w:rsid w:val="00DC294C"/>
    <w:rsid w:val="00DC3652"/>
    <w:rsid w:val="00DD03F7"/>
    <w:rsid w:val="00DF0B31"/>
    <w:rsid w:val="00E0027C"/>
    <w:rsid w:val="00E03C39"/>
    <w:rsid w:val="00E07DF8"/>
    <w:rsid w:val="00E12B7D"/>
    <w:rsid w:val="00E14D58"/>
    <w:rsid w:val="00E24F2B"/>
    <w:rsid w:val="00E26379"/>
    <w:rsid w:val="00E32D7E"/>
    <w:rsid w:val="00E33A20"/>
    <w:rsid w:val="00E3517F"/>
    <w:rsid w:val="00E60441"/>
    <w:rsid w:val="00E61420"/>
    <w:rsid w:val="00E61E60"/>
    <w:rsid w:val="00E6704B"/>
    <w:rsid w:val="00E70FEA"/>
    <w:rsid w:val="00E75F25"/>
    <w:rsid w:val="00E76AEB"/>
    <w:rsid w:val="00E84030"/>
    <w:rsid w:val="00E8487A"/>
    <w:rsid w:val="00E856E6"/>
    <w:rsid w:val="00E9014A"/>
    <w:rsid w:val="00E919CA"/>
    <w:rsid w:val="00E935CE"/>
    <w:rsid w:val="00EA75DA"/>
    <w:rsid w:val="00EB6B47"/>
    <w:rsid w:val="00EB7E3F"/>
    <w:rsid w:val="00EC0DAE"/>
    <w:rsid w:val="00ED74DD"/>
    <w:rsid w:val="00EF335F"/>
    <w:rsid w:val="00EF375E"/>
    <w:rsid w:val="00F02874"/>
    <w:rsid w:val="00F12416"/>
    <w:rsid w:val="00F128BD"/>
    <w:rsid w:val="00F315AC"/>
    <w:rsid w:val="00F36598"/>
    <w:rsid w:val="00F4075A"/>
    <w:rsid w:val="00F44BC1"/>
    <w:rsid w:val="00F51390"/>
    <w:rsid w:val="00F57C69"/>
    <w:rsid w:val="00F66A16"/>
    <w:rsid w:val="00F734B4"/>
    <w:rsid w:val="00F734DA"/>
    <w:rsid w:val="00F74CD5"/>
    <w:rsid w:val="00FA00CC"/>
    <w:rsid w:val="00FA10EF"/>
    <w:rsid w:val="00FA2FAA"/>
    <w:rsid w:val="00FA7685"/>
    <w:rsid w:val="00FA7E0F"/>
    <w:rsid w:val="00FB7865"/>
    <w:rsid w:val="00FC4F71"/>
    <w:rsid w:val="00FD4503"/>
    <w:rsid w:val="00FD7078"/>
    <w:rsid w:val="00FE166B"/>
    <w:rsid w:val="00FE4F6B"/>
    <w:rsid w:val="00FE50A1"/>
    <w:rsid w:val="00FE5CDE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FA566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aliases w:val="Naslov 1 Znak Znak"/>
    <w:basedOn w:val="Navaden"/>
    <w:next w:val="Navaden"/>
    <w:link w:val="Naslov1Znak"/>
    <w:autoRedefine/>
    <w:uiPriority w:val="99"/>
    <w:qFormat/>
    <w:rsid w:val="008B76CA"/>
    <w:pPr>
      <w:keepNext/>
      <w:numPr>
        <w:numId w:val="1"/>
      </w:numPr>
      <w:autoSpaceDE w:val="0"/>
      <w:spacing w:after="0"/>
      <w:outlineLvl w:val="0"/>
    </w:pPr>
    <w:rPr>
      <w:rFonts w:ascii="Arial" w:hAnsi="Arial" w:cs="Arial"/>
      <w:b/>
      <w:sz w:val="28"/>
      <w:szCs w:val="20"/>
      <w:u w:val="single"/>
      <w:lang w:val="en-GB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9112EA"/>
    <w:pPr>
      <w:keepNext/>
      <w:spacing w:before="240" w:after="60" w:line="360" w:lineRule="auto"/>
      <w:ind w:left="720" w:hanging="360"/>
      <w:jc w:val="both"/>
      <w:outlineLvl w:val="1"/>
    </w:pPr>
    <w:rPr>
      <w:rFonts w:ascii="Times New Roman" w:hAnsi="Times New Roman" w:cs="Arial"/>
      <w:b/>
      <w:bCs/>
      <w:iCs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iPriority w:val="99"/>
    <w:qFormat/>
    <w:rsid w:val="009112EA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9112EA"/>
    <w:pPr>
      <w:keepNext/>
      <w:numPr>
        <w:ilvl w:val="3"/>
        <w:numId w:val="3"/>
      </w:numPr>
      <w:spacing w:before="240" w:after="60"/>
      <w:jc w:val="both"/>
      <w:outlineLvl w:val="3"/>
    </w:pPr>
    <w:rPr>
      <w:rFonts w:ascii="Times New Roman" w:hAnsi="Times New Roman" w:cs="Arial"/>
      <w:b/>
      <w:bCs/>
      <w:sz w:val="28"/>
      <w:szCs w:val="28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9112EA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 w:cs="Arial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9112EA"/>
    <w:pPr>
      <w:numPr>
        <w:ilvl w:val="5"/>
        <w:numId w:val="3"/>
      </w:numPr>
      <w:spacing w:before="240" w:after="60"/>
      <w:jc w:val="both"/>
      <w:outlineLvl w:val="5"/>
    </w:pPr>
    <w:rPr>
      <w:rFonts w:ascii="Times New Roman" w:hAnsi="Times New Roman" w:cs="Arial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9112EA"/>
    <w:pPr>
      <w:numPr>
        <w:ilvl w:val="6"/>
        <w:numId w:val="3"/>
      </w:numPr>
      <w:spacing w:before="240" w:after="60"/>
      <w:jc w:val="both"/>
      <w:outlineLvl w:val="6"/>
    </w:pPr>
    <w:rPr>
      <w:rFonts w:ascii="Times New Roman" w:hAnsi="Times New Roman" w:cs="Arial"/>
      <w:b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9112EA"/>
    <w:pPr>
      <w:numPr>
        <w:ilvl w:val="7"/>
        <w:numId w:val="3"/>
      </w:numPr>
      <w:spacing w:before="240" w:after="60"/>
      <w:jc w:val="both"/>
      <w:outlineLvl w:val="7"/>
    </w:pPr>
    <w:rPr>
      <w:rFonts w:ascii="Times New Roman" w:hAnsi="Times New Roman" w:cs="Arial"/>
      <w:b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9112EA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 w:cs="Arial"/>
      <w:b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paragraph" w:styleId="Brezrazmikov">
    <w:name w:val="No Spacing"/>
    <w:uiPriority w:val="1"/>
    <w:qFormat/>
    <w:rsid w:val="00667ED1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character" w:customStyle="1" w:styleId="shorttext">
    <w:name w:val="short_text"/>
    <w:basedOn w:val="Privzetapisavaodstavka"/>
    <w:rsid w:val="008A1F0F"/>
  </w:style>
  <w:style w:type="character" w:customStyle="1" w:styleId="hps">
    <w:name w:val="hps"/>
    <w:basedOn w:val="Privzetapisavaodstavka"/>
    <w:rsid w:val="008A1F0F"/>
  </w:style>
  <w:style w:type="paragraph" w:customStyle="1" w:styleId="Default">
    <w:name w:val="Default"/>
    <w:uiPriority w:val="99"/>
    <w:qFormat/>
    <w:rsid w:val="008A1F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rsid w:val="008A1F0F"/>
    <w:pPr>
      <w:spacing w:after="0"/>
    </w:pPr>
    <w:rPr>
      <w:rFonts w:ascii="Times New Roman" w:hAnsi="Times New Roman"/>
      <w:b/>
      <w:sz w:val="24"/>
      <w:szCs w:val="24"/>
    </w:rPr>
  </w:style>
  <w:style w:type="paragraph" w:customStyle="1" w:styleId="Odstavekseznama1">
    <w:name w:val="Odstavek seznama1"/>
    <w:basedOn w:val="Navaden"/>
    <w:qFormat/>
    <w:rsid w:val="0002009C"/>
    <w:pPr>
      <w:spacing w:after="200"/>
      <w:ind w:left="720"/>
      <w:contextualSpacing/>
    </w:pPr>
    <w:rPr>
      <w:rFonts w:ascii="Cambria" w:eastAsia="Cambria" w:hAnsi="Cambria"/>
      <w:sz w:val="24"/>
      <w:szCs w:val="24"/>
    </w:rPr>
  </w:style>
  <w:style w:type="character" w:customStyle="1" w:styleId="Naslov1Znak">
    <w:name w:val="Naslov 1 Znak"/>
    <w:aliases w:val="Naslov 1 Znak Znak Znak"/>
    <w:basedOn w:val="Privzetapisavaodstavka"/>
    <w:link w:val="Naslov1"/>
    <w:uiPriority w:val="99"/>
    <w:rsid w:val="008B76CA"/>
    <w:rPr>
      <w:rFonts w:ascii="Arial" w:eastAsia="Times New Roman" w:hAnsi="Arial" w:cs="Arial"/>
      <w:b/>
      <w:sz w:val="28"/>
      <w:szCs w:val="20"/>
      <w:u w:val="single"/>
      <w:lang w:val="en-GB"/>
    </w:rPr>
  </w:style>
  <w:style w:type="character" w:styleId="Hiperpovezava">
    <w:name w:val="Hyperlink"/>
    <w:basedOn w:val="Privzetapisavaodstavka"/>
    <w:rsid w:val="00CE30CF"/>
    <w:rPr>
      <w:rFonts w:ascii="Verdana" w:hAnsi="Verdana" w:cs="Times New Roman"/>
      <w:color w:val="003399"/>
      <w:u w:val="single"/>
    </w:rPr>
  </w:style>
  <w:style w:type="character" w:customStyle="1" w:styleId="apple-converted-space">
    <w:name w:val="apple-converted-space"/>
    <w:basedOn w:val="Privzetapisavaodstavka"/>
    <w:rsid w:val="00CE30CF"/>
  </w:style>
  <w:style w:type="paragraph" w:customStyle="1" w:styleId="NATO11">
    <w:name w:val="NATO 11"/>
    <w:basedOn w:val="Navaden"/>
    <w:uiPriority w:val="99"/>
    <w:rsid w:val="001C4698"/>
    <w:pPr>
      <w:spacing w:after="0"/>
      <w:jc w:val="both"/>
    </w:pPr>
    <w:rPr>
      <w:rFonts w:ascii="Arial" w:eastAsia="Calibri" w:hAnsi="Arial" w:cs="Arial"/>
    </w:rPr>
  </w:style>
  <w:style w:type="paragraph" w:customStyle="1" w:styleId="BodyText1">
    <w:name w:val="Body Text1"/>
    <w:basedOn w:val="Navaden"/>
    <w:qFormat/>
    <w:rsid w:val="006F4A39"/>
    <w:pPr>
      <w:widowControl w:val="0"/>
      <w:suppressAutoHyphens/>
    </w:pPr>
    <w:rPr>
      <w:rFonts w:ascii="Times New Roman" w:hAnsi="Times New Roman"/>
      <w:sz w:val="20"/>
      <w:szCs w:val="20"/>
      <w:lang w:val="en-US"/>
    </w:rPr>
  </w:style>
  <w:style w:type="paragraph" w:styleId="HTML-oblikovano">
    <w:name w:val="HTML Preformatted"/>
    <w:basedOn w:val="Navaden"/>
    <w:link w:val="HTML-oblikovanoZnak"/>
    <w:unhideWhenUsed/>
    <w:qFormat/>
    <w:rsid w:val="006F4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oblikovanoZnak">
    <w:name w:val="HTML-oblikovano Znak"/>
    <w:basedOn w:val="Privzetapisavaodstavka"/>
    <w:link w:val="HTML-oblikovano"/>
    <w:rsid w:val="006F4A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InternetLink">
    <w:name w:val="Internet Link"/>
    <w:basedOn w:val="Privzetapisavaodstavka"/>
    <w:unhideWhenUsed/>
    <w:rsid w:val="006F4A39"/>
    <w:rPr>
      <w:color w:val="0563C1" w:themeColor="hyperlink"/>
      <w:u w:val="single"/>
    </w:rPr>
  </w:style>
  <w:style w:type="character" w:styleId="Krepko">
    <w:name w:val="Strong"/>
    <w:qFormat/>
    <w:rsid w:val="00102023"/>
    <w:rPr>
      <w:b/>
      <w:bCs/>
    </w:rPr>
  </w:style>
  <w:style w:type="paragraph" w:customStyle="1" w:styleId="Odstavekseznama2">
    <w:name w:val="Odstavek seznama2"/>
    <w:basedOn w:val="Navaden"/>
    <w:uiPriority w:val="99"/>
    <w:qFormat/>
    <w:rsid w:val="00F315AC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alineja">
    <w:name w:val="alineja"/>
    <w:basedOn w:val="Navaden"/>
    <w:rsid w:val="00F315AC"/>
    <w:pPr>
      <w:numPr>
        <w:ilvl w:val="1"/>
        <w:numId w:val="2"/>
      </w:numPr>
      <w:spacing w:after="0"/>
      <w:jc w:val="both"/>
    </w:pPr>
    <w:rPr>
      <w:rFonts w:ascii="Times New Roman" w:hAnsi="Times New Roman"/>
      <w:sz w:val="24"/>
      <w:szCs w:val="20"/>
    </w:rPr>
  </w:style>
  <w:style w:type="character" w:customStyle="1" w:styleId="fn2">
    <w:name w:val="fn2"/>
    <w:basedOn w:val="Privzetapisavaodstavka"/>
    <w:uiPriority w:val="99"/>
    <w:rsid w:val="009112EA"/>
    <w:rPr>
      <w:rFonts w:cs="Times New Roman"/>
    </w:rPr>
  </w:style>
  <w:style w:type="character" w:customStyle="1" w:styleId="Naslov2Znak">
    <w:name w:val="Naslov 2 Znak"/>
    <w:basedOn w:val="Privzetapisavaodstavka"/>
    <w:link w:val="Naslov2"/>
    <w:uiPriority w:val="99"/>
    <w:rsid w:val="009112EA"/>
    <w:rPr>
      <w:rFonts w:ascii="Times New Roman" w:eastAsia="Times New Roman" w:hAnsi="Times New Roman" w:cs="Arial"/>
      <w:b/>
      <w:bCs/>
      <w:i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9"/>
    <w:rsid w:val="009112EA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uiPriority w:val="99"/>
    <w:rsid w:val="009112EA"/>
    <w:rPr>
      <w:rFonts w:ascii="Times New Roman" w:eastAsia="Times New Roman" w:hAnsi="Times New Roman" w:cs="Arial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uiPriority w:val="99"/>
    <w:rsid w:val="009112EA"/>
    <w:rPr>
      <w:rFonts w:ascii="Arial" w:eastAsia="Times New Roman" w:hAnsi="Arial" w:cs="Arial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9"/>
    <w:rsid w:val="009112EA"/>
    <w:rPr>
      <w:rFonts w:ascii="Times New Roman" w:eastAsia="Times New Roman" w:hAnsi="Times New Roman" w:cs="Arial"/>
      <w:b/>
      <w:bCs/>
      <w:sz w:val="2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9"/>
    <w:rsid w:val="009112EA"/>
    <w:rPr>
      <w:rFonts w:ascii="Times New Roman" w:eastAsia="Times New Roman" w:hAnsi="Times New Roman" w:cs="Arial"/>
      <w:b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9"/>
    <w:rsid w:val="009112EA"/>
    <w:rPr>
      <w:rFonts w:ascii="Times New Roman" w:eastAsia="Times New Roman" w:hAnsi="Times New Roman" w:cs="Arial"/>
      <w:b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uiPriority w:val="99"/>
    <w:rsid w:val="009112EA"/>
    <w:rPr>
      <w:rFonts w:ascii="Arial" w:eastAsia="Times New Roman" w:hAnsi="Arial" w:cs="Arial"/>
      <w:b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1308A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A75CE02-E81E-4B12-BBED-CDC50464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Ksenija Končan</cp:lastModifiedBy>
  <cp:revision>18</cp:revision>
  <cp:lastPrinted>2019-01-30T13:00:00Z</cp:lastPrinted>
  <dcterms:created xsi:type="dcterms:W3CDTF">2022-02-15T12:38:00Z</dcterms:created>
  <dcterms:modified xsi:type="dcterms:W3CDTF">2024-08-22T10:22:00Z</dcterms:modified>
</cp:coreProperties>
</file>