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86"/>
        <w:gridCol w:w="9"/>
        <w:gridCol w:w="143"/>
        <w:gridCol w:w="780"/>
        <w:gridCol w:w="62"/>
        <w:gridCol w:w="990"/>
        <w:gridCol w:w="365"/>
        <w:gridCol w:w="1193"/>
        <w:gridCol w:w="224"/>
        <w:gridCol w:w="132"/>
        <w:gridCol w:w="1075"/>
      </w:tblGrid>
      <w:tr w:rsidR="005A11E4" w:rsidRPr="0049183D" w14:paraId="605D34DD" w14:textId="77777777" w:rsidTr="00781C83"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516916" w:rsidRPr="0049183D" w14:paraId="36413FBF" w14:textId="77777777" w:rsidTr="00781C83">
        <w:tc>
          <w:tcPr>
            <w:tcW w:w="1797" w:type="dxa"/>
            <w:gridSpan w:val="2"/>
          </w:tcPr>
          <w:p w14:paraId="72C1DC59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3988D56A" w:rsidR="00516916" w:rsidRPr="00516916" w:rsidRDefault="00516916" w:rsidP="00516916">
            <w:pPr>
              <w:spacing w:after="0"/>
              <w:rPr>
                <w:rFonts w:eastAsia="Calibri" w:cs="Arial"/>
                <w:lang w:eastAsia="sl-SI"/>
              </w:rPr>
            </w:pPr>
            <w:r w:rsidRPr="00516916">
              <w:rPr>
                <w:rFonts w:asciiTheme="minorHAnsi" w:hAnsiTheme="minorHAnsi" w:cstheme="minorHAnsi"/>
                <w:lang w:val="de-DE"/>
              </w:rPr>
              <w:t>NABAVA IN STORITVE ZA STRANKE</w:t>
            </w:r>
          </w:p>
        </w:tc>
      </w:tr>
      <w:tr w:rsidR="00516916" w:rsidRPr="0049183D" w14:paraId="12BB578E" w14:textId="77777777" w:rsidTr="00781C83">
        <w:tc>
          <w:tcPr>
            <w:tcW w:w="1797" w:type="dxa"/>
            <w:gridSpan w:val="2"/>
          </w:tcPr>
          <w:p w14:paraId="003758B5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5533F03A" w:rsidR="00516916" w:rsidRPr="00516916" w:rsidRDefault="00516916" w:rsidP="00516916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516916">
              <w:rPr>
                <w:rStyle w:val="Krepko"/>
                <w:rFonts w:asciiTheme="minorHAnsi" w:hAnsiTheme="minorHAnsi" w:cstheme="minorHAnsi"/>
                <w:b w:val="0"/>
                <w:lang w:val="en-GB"/>
              </w:rPr>
              <w:t>SOURCING AND CUSTOMER SERVICE</w:t>
            </w:r>
          </w:p>
        </w:tc>
      </w:tr>
      <w:tr w:rsidR="005A11E4" w:rsidRPr="0049183D" w14:paraId="0BB44B80" w14:textId="77777777" w:rsidTr="00781C83">
        <w:tc>
          <w:tcPr>
            <w:tcW w:w="3305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781C8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23FFFBED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A92877F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6EE47F3B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61EF4A3C" w:rsidR="00667ED1" w:rsidRPr="0049183D" w:rsidRDefault="00516916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4AE235F2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6D0CC36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7E187EE4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03CD4250" w:rsidR="00667ED1" w:rsidRPr="0049183D" w:rsidRDefault="00516916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1E148366" w14:textId="77777777" w:rsidTr="00781C83">
        <w:trPr>
          <w:trHeight w:val="103"/>
        </w:trPr>
        <w:tc>
          <w:tcPr>
            <w:tcW w:w="9695" w:type="dxa"/>
            <w:gridSpan w:val="17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781C83">
        <w:trPr>
          <w:trHeight w:val="270"/>
        </w:trPr>
        <w:tc>
          <w:tcPr>
            <w:tcW w:w="571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4EAC91D8" w:rsidR="005A11E4" w:rsidRPr="0049183D" w:rsidRDefault="00516916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781C83">
        <w:trPr>
          <w:trHeight w:val="270"/>
        </w:trPr>
        <w:tc>
          <w:tcPr>
            <w:tcW w:w="5716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46B08DEC" w:rsidR="005A11E4" w:rsidRPr="001848D1" w:rsidRDefault="005A11E4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</w:p>
        </w:tc>
      </w:tr>
      <w:tr w:rsidR="005A11E4" w:rsidRPr="0049183D" w14:paraId="6B1B7C32" w14:textId="77777777" w:rsidTr="00781C83">
        <w:tc>
          <w:tcPr>
            <w:tcW w:w="5716" w:type="dxa"/>
            <w:gridSpan w:val="11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781C83">
        <w:tc>
          <w:tcPr>
            <w:tcW w:w="571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DD811AE" w:rsidR="005A11E4" w:rsidRPr="0049183D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FC48C48" w14:textId="77777777" w:rsidTr="00781C83">
        <w:tc>
          <w:tcPr>
            <w:tcW w:w="9695" w:type="dxa"/>
            <w:gridSpan w:val="17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781C8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871EDA" w:rsidRPr="0049183D" w14:paraId="6C3C0BA4" w14:textId="77777777" w:rsidTr="00781C83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5E207" w14:textId="77777777" w:rsidR="00871EDA" w:rsidRDefault="00516916" w:rsidP="005169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 e</w:t>
            </w:r>
            <w:r w:rsidR="001F7FE8">
              <w:rPr>
                <w:rFonts w:asciiTheme="minorHAnsi" w:hAnsiTheme="minorHAnsi" w:cstheme="minorHAnsi"/>
                <w:bCs/>
              </w:rPr>
              <w:t>-P</w:t>
            </w:r>
          </w:p>
          <w:p w14:paraId="013B6061" w14:textId="7E941B26" w:rsidR="00516916" w:rsidRPr="009E6B4A" w:rsidRDefault="00516916" w:rsidP="005169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16246" w14:textId="4A541FBD" w:rsidR="009E6B4A" w:rsidRPr="001F7FE8" w:rsidRDefault="0051691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9</w:t>
            </w:r>
            <w:r w:rsidR="001F7FE8" w:rsidRPr="001F7FE8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6C84A960" w14:textId="0747B47D" w:rsidR="001F7FE8" w:rsidRPr="0049183D" w:rsidRDefault="0051691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15</w:t>
            </w:r>
            <w:r w:rsidR="001F7FE8" w:rsidRPr="001F7FE8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7A25C929" w:rsidR="00871EDA" w:rsidRPr="00667ED1" w:rsidRDefault="00516916" w:rsidP="0010202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135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1CBADD36" w:rsidR="00871EDA" w:rsidRPr="00667ED1" w:rsidRDefault="0051691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871EDA" w:rsidRPr="0049183D" w14:paraId="33611488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44B25365" w:rsidR="00871EDA" w:rsidRPr="00A57D7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871EDA" w:rsidRPr="0049183D" w14:paraId="3AFC1636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ABA0E34" w:rsidR="00871EDA" w:rsidRPr="00A57D7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781C83">
        <w:tc>
          <w:tcPr>
            <w:tcW w:w="9695" w:type="dxa"/>
            <w:gridSpan w:val="17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781C83">
        <w:tc>
          <w:tcPr>
            <w:tcW w:w="3305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CD9A" w14:textId="582DB8C1" w:rsidR="005A11E4" w:rsidRDefault="00516916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MATEVŽ OBRECHT</w:t>
            </w:r>
          </w:p>
          <w:p w14:paraId="28DE0B2C" w14:textId="296CF5D1" w:rsidR="00516916" w:rsidRPr="0049183D" w:rsidRDefault="00516916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 xml:space="preserve"> </w:t>
            </w:r>
          </w:p>
        </w:tc>
      </w:tr>
      <w:tr w:rsidR="005A11E4" w:rsidRPr="0049183D" w14:paraId="373ADDF1" w14:textId="77777777" w:rsidTr="00781C83">
        <w:tc>
          <w:tcPr>
            <w:tcW w:w="9695" w:type="dxa"/>
            <w:gridSpan w:val="17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E6B4A" w:rsidRPr="0049183D" w14:paraId="2546E5AF" w14:textId="77777777" w:rsidTr="00781C83">
        <w:tc>
          <w:tcPr>
            <w:tcW w:w="2296" w:type="dxa"/>
            <w:gridSpan w:val="3"/>
            <w:vMerge w:val="restart"/>
          </w:tcPr>
          <w:p w14:paraId="6861494E" w14:textId="77777777" w:rsidR="009E6B4A" w:rsidRPr="0049183D" w:rsidRDefault="009E6B4A" w:rsidP="009E6B4A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4"/>
          </w:tcPr>
          <w:p w14:paraId="77461E9B" w14:textId="77777777" w:rsidR="009E6B4A" w:rsidRPr="0049183D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0E4D6A61" w:rsidR="009E6B4A" w:rsidRPr="0049183D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SLOVENSKI</w:t>
            </w:r>
            <w:r w:rsidRPr="00B2796A">
              <w:rPr>
                <w:rFonts w:asciiTheme="minorHAnsi" w:hAnsiTheme="minorHAnsi"/>
              </w:rPr>
              <w:t>/SLOVENE</w:t>
            </w:r>
          </w:p>
        </w:tc>
      </w:tr>
      <w:tr w:rsidR="009E6B4A" w:rsidRPr="0049183D" w14:paraId="0712B376" w14:textId="77777777" w:rsidTr="00781C8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9E6B4A" w:rsidRPr="0049183D" w:rsidRDefault="009E6B4A" w:rsidP="009E6B4A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4"/>
          </w:tcPr>
          <w:p w14:paraId="3A2F1B73" w14:textId="77777777" w:rsidR="009E6B4A" w:rsidRPr="0049183D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24292F59" w:rsidR="009E6B4A" w:rsidRPr="0049183D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SLOVENSKI</w:t>
            </w:r>
            <w:r w:rsidRPr="00B2796A">
              <w:rPr>
                <w:rFonts w:asciiTheme="minorHAnsi" w:hAnsiTheme="minorHAnsi"/>
              </w:rPr>
              <w:t>/SLOVENE</w:t>
            </w:r>
          </w:p>
        </w:tc>
      </w:tr>
      <w:tr w:rsidR="005A11E4" w:rsidRPr="0049183D" w14:paraId="0BB418C6" w14:textId="77777777" w:rsidTr="00781C83">
        <w:tc>
          <w:tcPr>
            <w:tcW w:w="4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63298" w:rsidRPr="0049183D" w14:paraId="273ADA0E" w14:textId="77777777" w:rsidTr="00781C83">
        <w:trPr>
          <w:trHeight w:val="275"/>
        </w:trPr>
        <w:tc>
          <w:tcPr>
            <w:tcW w:w="4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021D303" w:rsidR="00B63298" w:rsidRPr="00516916" w:rsidRDefault="00516916" w:rsidP="00516916">
            <w:pPr>
              <w:jc w:val="both"/>
              <w:rPr>
                <w:rFonts w:asciiTheme="minorHAnsi" w:hAnsiTheme="minorHAnsi" w:cstheme="minorHAnsi"/>
              </w:rPr>
            </w:pPr>
            <w:r w:rsidRPr="00516916">
              <w:rPr>
                <w:rFonts w:asciiTheme="minorHAnsi" w:hAnsiTheme="minorHAnsi" w:cs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B63298" w:rsidRPr="0049183D" w:rsidRDefault="00B63298" w:rsidP="001F7FE8">
            <w:pPr>
              <w:spacing w:after="0"/>
              <w:jc w:val="both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FD5724C" w:rsidR="00B63298" w:rsidRPr="00516916" w:rsidRDefault="00516916" w:rsidP="00516916">
            <w:pPr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None.</w:t>
            </w:r>
          </w:p>
        </w:tc>
      </w:tr>
      <w:tr w:rsidR="00B63298" w:rsidRPr="0049183D" w14:paraId="32638BBD" w14:textId="77777777" w:rsidTr="00781C83">
        <w:trPr>
          <w:trHeight w:val="137"/>
        </w:trPr>
        <w:tc>
          <w:tcPr>
            <w:tcW w:w="4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41A73D15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516916" w:rsidRPr="00516916" w14:paraId="4EDFC7EE" w14:textId="77777777" w:rsidTr="00781C83">
        <w:trPr>
          <w:trHeight w:val="269"/>
        </w:trPr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6C7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Načrti nabave.</w:t>
            </w:r>
          </w:p>
          <w:p w14:paraId="70033B5E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Dogovori dobaviteljev.</w:t>
            </w:r>
          </w:p>
          <w:p w14:paraId="47098580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Postopki nabavnih procesov.</w:t>
            </w:r>
          </w:p>
          <w:p w14:paraId="53535F2F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E-orodja za nabavo.</w:t>
            </w:r>
          </w:p>
          <w:p w14:paraId="40776631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Politika kupcev in nakupne odločitve.</w:t>
            </w:r>
          </w:p>
          <w:p w14:paraId="3F9830A8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Organizacija storitev za kupce/stranke.</w:t>
            </w:r>
          </w:p>
          <w:p w14:paraId="4C8F621D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Ključni kazalniki uspešnosti (KPI) na področju storitev za stranke.</w:t>
            </w:r>
          </w:p>
          <w:p w14:paraId="33B3DE82" w14:textId="1FC692B6" w:rsidR="00516916" w:rsidRPr="00512D12" w:rsidRDefault="00512D12" w:rsidP="00516916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CRM sistem</w:t>
            </w:r>
            <w:r w:rsidRPr="00512D12">
              <w:rPr>
                <w:rFonts w:asciiTheme="minorHAnsi" w:hAnsiTheme="minorHAnsi" w:cstheme="minorHAnsi"/>
                <w:color w:val="FF0000"/>
                <w:sz w:val="22"/>
                <w:szCs w:val="22"/>
                <w:lang w:val="sv-SE"/>
              </w:rPr>
              <w:t>i</w:t>
            </w:r>
            <w:r w:rsidR="00516916" w:rsidRPr="00512D12">
              <w:rPr>
                <w:rFonts w:asciiTheme="minorHAnsi" w:hAnsiTheme="minorHAnsi" w:cstheme="minorHAnsi"/>
                <w:color w:val="FF0000"/>
                <w:sz w:val="22"/>
                <w:szCs w:val="22"/>
                <w:lang w:val="sv-SE"/>
              </w:rPr>
              <w:t>.</w:t>
            </w:r>
          </w:p>
          <w:p w14:paraId="166BF141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Segmentacija kupcev in iskanje tržnih niš v trajnostni potrošnji.</w:t>
            </w:r>
          </w:p>
          <w:p w14:paraId="4612FDCA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</w:p>
          <w:p w14:paraId="619F0A8B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Vaje:</w:t>
            </w:r>
          </w:p>
          <w:p w14:paraId="2D64605F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Priprava načrta nabave.</w:t>
            </w:r>
          </w:p>
          <w:p w14:paraId="7ED1E93C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Priprava sporazumov z dobavitelji.</w:t>
            </w:r>
          </w:p>
          <w:p w14:paraId="55EDA300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Ustvari in upravlja sodelovanje z dobavitelji.</w:t>
            </w:r>
          </w:p>
          <w:p w14:paraId="189308C0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lastRenderedPageBreak/>
              <w:t>Pogajalske strategije, z vsemi vključenimi deležniki.</w:t>
            </w:r>
          </w:p>
          <w:p w14:paraId="5BC367BE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Politika storitev za kupce/stranke.</w:t>
            </w:r>
          </w:p>
          <w:p w14:paraId="726FD47D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Organizacija storitev za stranke.</w:t>
            </w:r>
          </w:p>
          <w:p w14:paraId="4737B1E7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Določa ključne kazalnike uspešnosti (KPI) in izvaja spremembe za izboljšanje.</w:t>
            </w:r>
          </w:p>
          <w:p w14:paraId="625112B6" w14:textId="3EB0B360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Sistemi za upravljanje odnosov s strankami (CRM).</w:t>
            </w: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8C9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Sourcing plans.</w:t>
            </w:r>
          </w:p>
          <w:p w14:paraId="25780F54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Supplier agreements.</w:t>
            </w:r>
          </w:p>
          <w:p w14:paraId="09F0C7DC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Operational purchasing processes.</w:t>
            </w:r>
          </w:p>
          <w:p w14:paraId="752FFB31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Electronic (e)-Procurement tools.</w:t>
            </w:r>
          </w:p>
          <w:p w14:paraId="4CC47073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Customer service policy and purchasing decisions.</w:t>
            </w:r>
          </w:p>
          <w:p w14:paraId="271ACA1D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Customer service organization.</w:t>
            </w:r>
          </w:p>
          <w:p w14:paraId="49C8884F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Key Performance Indicators (KPI) in customer service area.</w:t>
            </w:r>
          </w:p>
          <w:p w14:paraId="2D222D5F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Information Technology Systems (ITS and CRM).</w:t>
            </w:r>
          </w:p>
          <w:p w14:paraId="133353DB" w14:textId="77777777" w:rsidR="00516916" w:rsidRPr="00516916" w:rsidRDefault="00516916" w:rsidP="005169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516916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Customer segmentation and identifying niche market in sustainable consumption.</w:t>
            </w:r>
          </w:p>
          <w:p w14:paraId="3324B0D5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</w:p>
          <w:p w14:paraId="29F3BDF2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Tutorials:</w:t>
            </w:r>
          </w:p>
          <w:p w14:paraId="06CAACC2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Prepares sourcing plans.</w:t>
            </w:r>
          </w:p>
          <w:p w14:paraId="285238AA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Establishes supplier agreements.</w:t>
            </w:r>
          </w:p>
          <w:p w14:paraId="75548F59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lastRenderedPageBreak/>
              <w:t>Creates and manages collaborative supplier relationships.</w:t>
            </w:r>
          </w:p>
          <w:p w14:paraId="480C2F02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Negotiation strategies with all involved stakeholders.</w:t>
            </w:r>
          </w:p>
          <w:p w14:paraId="16744C4D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Implements a customer service policy.</w:t>
            </w:r>
          </w:p>
          <w:p w14:paraId="069FE105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Establishes a customer service organization.</w:t>
            </w:r>
          </w:p>
          <w:p w14:paraId="3E883563" w14:textId="77777777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Defines and implements Key Performance Indicators (KPIs) to improve customer service.</w:t>
            </w:r>
          </w:p>
          <w:p w14:paraId="68E25B91" w14:textId="0A74F621" w:rsidR="00516916" w:rsidRP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16916">
              <w:rPr>
                <w:rFonts w:asciiTheme="minorHAnsi" w:hAnsiTheme="minorHAnsi" w:cstheme="minorHAnsi"/>
                <w:lang w:val="en-GB"/>
              </w:rPr>
              <w:t>Customer Relationship Management (CRM) systems.</w:t>
            </w:r>
          </w:p>
        </w:tc>
      </w:tr>
    </w:tbl>
    <w:p w14:paraId="34252FC4" w14:textId="339ACB93" w:rsidR="009E1DB7" w:rsidRDefault="009E1DB7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678"/>
        <w:gridCol w:w="44"/>
        <w:gridCol w:w="9"/>
        <w:gridCol w:w="89"/>
        <w:gridCol w:w="54"/>
        <w:gridCol w:w="4765"/>
        <w:gridCol w:w="56"/>
      </w:tblGrid>
      <w:tr w:rsidR="009E1DB7" w:rsidRPr="0049183D" w14:paraId="50F6CFCC" w14:textId="77777777" w:rsidTr="009E1DB7">
        <w:tc>
          <w:tcPr>
            <w:tcW w:w="9695" w:type="dxa"/>
            <w:gridSpan w:val="7"/>
            <w:tcBorders>
              <w:bottom w:val="single" w:sz="4" w:space="0" w:color="auto"/>
            </w:tcBorders>
          </w:tcPr>
          <w:p w14:paraId="4C4D6A60" w14:textId="48831C03" w:rsidR="009E1DB7" w:rsidRPr="0049183D" w:rsidRDefault="009E1DB7" w:rsidP="009E1DB7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16916" w:rsidRPr="00516916" w14:paraId="166E7B56" w14:textId="77777777" w:rsidTr="009E1DB7">
        <w:trPr>
          <w:trHeight w:val="20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42A" w14:textId="77777777" w:rsidR="00E3421E" w:rsidRPr="008F6F5C" w:rsidRDefault="00E3421E" w:rsidP="004D4BA2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8F6F5C">
              <w:rPr>
                <w:rFonts w:asciiTheme="minorHAnsi" w:hAnsiTheme="minorHAnsi" w:cstheme="minorHAnsi"/>
              </w:rPr>
              <w:t>Obrecht, M. (2020). Life cycle management in supply chains. Visokošolski učbenik. Univerza v Mariboru, Fakulteta za logistiko.</w:t>
            </w:r>
          </w:p>
          <w:p w14:paraId="185A4B3A" w14:textId="0083C937" w:rsidR="004D4BA2" w:rsidRPr="008F6F5C" w:rsidRDefault="004D4BA2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8F6F5C">
              <w:rPr>
                <w:rFonts w:ascii="Verdana" w:hAnsi="Verdana"/>
                <w:color w:val="000000"/>
                <w:sz w:val="17"/>
                <w:szCs w:val="17"/>
              </w:rPr>
              <w:t xml:space="preserve">OBRECHT, M., CVAHTE OJSTERŠEK, T., ČUČEK, M., FALE, M., KAJBA, M., VIČIČ, P., SLOMŠEK ŠLAMBERGER, B., PAVIĆ, L. (2024). </w:t>
            </w:r>
            <w:r w:rsidRPr="008F6F5C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Oskrbovalne verige znanja : smernice za zeleni in digitalni prehod</w:t>
            </w:r>
            <w:r w:rsidRPr="008F6F5C">
              <w:rPr>
                <w:rFonts w:ascii="Verdana" w:hAnsi="Verdana"/>
                <w:color w:val="000000"/>
                <w:sz w:val="17"/>
                <w:szCs w:val="17"/>
              </w:rPr>
              <w:t>. 1. izd. Maribor: Univerza v Mariboru, Univerzitetna založba, DOI: </w:t>
            </w:r>
            <w:hyperlink r:id="rId7" w:tgtFrame="_blank" w:history="1">
              <w:r w:rsidRPr="008F6F5C">
                <w:rPr>
                  <w:rStyle w:val="Hiperpovezava"/>
                  <w:color w:val="156BFF"/>
                  <w:sz w:val="17"/>
                  <w:szCs w:val="17"/>
                </w:rPr>
                <w:t>10.18690/um.fl.2.2024</w:t>
              </w:r>
            </w:hyperlink>
            <w:r w:rsidRPr="008F6F5C">
              <w:t>.</w:t>
            </w:r>
          </w:p>
          <w:p w14:paraId="676B444F" w14:textId="77777777" w:rsidR="00E3421E" w:rsidRPr="008F6F5C" w:rsidRDefault="00E3421E" w:rsidP="004D4BA2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8F6F5C">
              <w:rPr>
                <w:rFonts w:asciiTheme="minorHAnsi" w:hAnsiTheme="minorHAnsi" w:cstheme="minorHAnsi"/>
              </w:rPr>
              <w:t>Chopra, S., Meindl, P. (2019). Supply chain management : strategy, planning, and operation. Pearson</w:t>
            </w:r>
          </w:p>
          <w:p w14:paraId="03353777" w14:textId="75E82F4B" w:rsidR="00E3421E" w:rsidRPr="008F6F5C" w:rsidRDefault="00E3421E" w:rsidP="004D4BA2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8F6F5C">
              <w:rPr>
                <w:rFonts w:asciiTheme="minorHAnsi" w:hAnsiTheme="minorHAnsi" w:cstheme="minorHAnsi"/>
              </w:rPr>
              <w:t>Monczka, R., Handfield, R., Giunipero, L., Patterson, J. (2016). Purchasing and Supply Chain Management. Cengage Learning, Mason (OH).</w:t>
            </w:r>
          </w:p>
          <w:p w14:paraId="184E7F18" w14:textId="2A38D0B5" w:rsidR="00E3421E" w:rsidRPr="008F6F5C" w:rsidRDefault="00E3421E" w:rsidP="00516916">
            <w:pPr>
              <w:spacing w:after="0"/>
              <w:ind w:right="113"/>
              <w:jc w:val="both"/>
              <w:rPr>
                <w:rFonts w:asciiTheme="minorHAnsi" w:eastAsiaTheme="minorHAnsi" w:hAnsiTheme="minorHAnsi" w:cs="Calibri"/>
                <w:lang w:val="en-US"/>
              </w:rPr>
            </w:pPr>
          </w:p>
        </w:tc>
      </w:tr>
      <w:tr w:rsidR="00516916" w:rsidRPr="0049183D" w14:paraId="17101D27" w14:textId="77777777" w:rsidTr="009E1DB7">
        <w:trPr>
          <w:trHeight w:val="73"/>
        </w:trPr>
        <w:tc>
          <w:tcPr>
            <w:tcW w:w="47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35D2FC" w14:textId="77777777" w:rsidR="00516916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37EC76C" w14:textId="29E6FAF2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3"/>
          </w:tcPr>
          <w:p w14:paraId="21B5386D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C121E2" w14:textId="77777777" w:rsidR="00516916" w:rsidRPr="008F6F5C" w:rsidRDefault="00516916" w:rsidP="00516916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51F3F523" w14:textId="121D1BD3" w:rsidR="00516916" w:rsidRPr="008F6F5C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F6F5C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8F6F5C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16916" w:rsidRPr="00A57D74" w14:paraId="572FDB32" w14:textId="77777777" w:rsidTr="009E1DB7">
        <w:trPr>
          <w:gridAfter w:val="1"/>
          <w:wAfter w:w="56" w:type="dxa"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377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Cilji:</w:t>
            </w:r>
          </w:p>
          <w:p w14:paraId="7228B07D" w14:textId="77777777" w:rsidR="00516916" w:rsidRPr="00D03465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>Izboljšanje sposobnosti pri vodenju virov.</w:t>
            </w:r>
          </w:p>
          <w:p w14:paraId="1E079776" w14:textId="77777777" w:rsidR="00516916" w:rsidRPr="00D03465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 xml:space="preserve">Izboljšanje sposobnosti na področju storitev za stranke. </w:t>
            </w:r>
          </w:p>
          <w:p w14:paraId="244A3AA6" w14:textId="77777777" w:rsidR="00516916" w:rsidRPr="00D03465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>Predstavitev informacijskih sistemov pri nabavi in storitvah za stranke.</w:t>
            </w:r>
          </w:p>
          <w:p w14:paraId="4EB8AF4C" w14:textId="77777777" w:rsidR="00516916" w:rsidRPr="00D03465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>Izboljšanje sposobnosti pri ustvarjanju in izvajanju učinkovitih strategij nabave.</w:t>
            </w:r>
          </w:p>
          <w:p w14:paraId="1E29CAE8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>Pridobivanje znanja o celotnem ciklu in procesih vodenja naročil.</w:t>
            </w:r>
          </w:p>
          <w:p w14:paraId="4459E705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48008242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Kompetence:</w:t>
            </w:r>
          </w:p>
          <w:p w14:paraId="5691F6D7" w14:textId="77777777" w:rsidR="00516916" w:rsidRPr="00D03465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>Študent zna izboljšati logistične procese pri nabavi in storitvah za stranke.</w:t>
            </w:r>
          </w:p>
          <w:p w14:paraId="38B78048" w14:textId="77777777" w:rsidR="00516916" w:rsidRPr="00D03465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>Študent zna izbrati pomembne informacije, ki vplivajo na nabavo in storitve za stranke.</w:t>
            </w:r>
          </w:p>
          <w:p w14:paraId="72C10C64" w14:textId="77777777" w:rsidR="00516916" w:rsidRPr="00D03465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>Študent ima ustrezen odnos do dela in sodelavcev.</w:t>
            </w:r>
          </w:p>
          <w:p w14:paraId="7305480B" w14:textId="77777777" w:rsidR="00516916" w:rsidRPr="00D03465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>Študent je sposoben zmanjšati nabavne stroške z uporabo optimizacije virov s področja nabave.</w:t>
            </w:r>
          </w:p>
          <w:p w14:paraId="2CA9C79B" w14:textId="77777777" w:rsidR="00516916" w:rsidRPr="00D03465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>Študent pomembno prispeva k splošni uspešnosti organizacije.</w:t>
            </w:r>
          </w:p>
          <w:p w14:paraId="085B57A9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03465">
              <w:rPr>
                <w:rFonts w:asciiTheme="minorHAnsi" w:hAnsiTheme="minorHAnsi" w:cstheme="minorHAnsi"/>
              </w:rPr>
              <w:t xml:space="preserve">Študent lahko upravlja, komunicira z dobavitelji in strankami prek različnih komunikacijskih metod.  </w:t>
            </w:r>
          </w:p>
          <w:p w14:paraId="582EF3EA" w14:textId="08517F08" w:rsidR="00516916" w:rsidRPr="009E6B4A" w:rsidRDefault="00516916" w:rsidP="005169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516916" w:rsidRPr="00A57D74" w:rsidRDefault="00516916" w:rsidP="00516916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DC4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Learning objectives:</w:t>
            </w:r>
          </w:p>
          <w:p w14:paraId="50823470" w14:textId="77777777" w:rsidR="00516916" w:rsidRPr="000D1169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>Improving skills in sourcing management.</w:t>
            </w:r>
          </w:p>
          <w:p w14:paraId="2E229D88" w14:textId="77777777" w:rsidR="00516916" w:rsidRPr="000D1169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 xml:space="preserve">Improving skills in customer service area. </w:t>
            </w:r>
          </w:p>
          <w:p w14:paraId="01023304" w14:textId="77777777" w:rsidR="00516916" w:rsidRPr="000D1169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>Presenting IT systems in sourcing and customer service.</w:t>
            </w:r>
          </w:p>
          <w:p w14:paraId="4C6BD44E" w14:textId="77777777" w:rsidR="00516916" w:rsidRPr="000D1169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>Improving skills in creating and executing effective sourcing strategies.</w:t>
            </w:r>
          </w:p>
          <w:p w14:paraId="5FBC827C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>Acquiring knowledge of the overall order management cycle and processes.</w:t>
            </w:r>
          </w:p>
          <w:p w14:paraId="5DE6C5A8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939AC79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49A941F" w14:textId="77777777" w:rsidR="00516916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Competences:</w:t>
            </w:r>
          </w:p>
          <w:p w14:paraId="29312DF9" w14:textId="77777777" w:rsidR="00516916" w:rsidRPr="000D1169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>Student is able to improve logistics processes in sourcing and customer service.</w:t>
            </w:r>
          </w:p>
          <w:p w14:paraId="5EBD7296" w14:textId="77777777" w:rsidR="00516916" w:rsidRPr="000D1169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>Student can select important information, which has an influence on sourcing and customer service.</w:t>
            </w:r>
          </w:p>
          <w:p w14:paraId="24E1C91F" w14:textId="77777777" w:rsidR="00516916" w:rsidRPr="000D1169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>Student has an impeccable attitude to work and coworker.</w:t>
            </w:r>
          </w:p>
          <w:p w14:paraId="04ED81EF" w14:textId="77777777" w:rsidR="00516916" w:rsidRPr="000D1169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>Student is capable to reduce the sourcing cost, using optimization of sourcing initiatives.</w:t>
            </w:r>
          </w:p>
          <w:p w14:paraId="269E4EDF" w14:textId="77777777" w:rsidR="00516916" w:rsidRPr="000D1169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>Student makes a significant contribution to overall organizational performance.</w:t>
            </w:r>
          </w:p>
          <w:p w14:paraId="41C5AAA2" w14:textId="22447876" w:rsidR="00516916" w:rsidRPr="009E6B4A" w:rsidRDefault="00516916" w:rsidP="00516916">
            <w:p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0D1169">
              <w:rPr>
                <w:rFonts w:asciiTheme="minorHAnsi" w:hAnsiTheme="minorHAnsi" w:cstheme="minorHAnsi"/>
                <w:lang w:val="en-GB"/>
              </w:rPr>
              <w:t xml:space="preserve">Student can manage customers via various communication methods and can overcome challenging customers.  </w:t>
            </w:r>
          </w:p>
        </w:tc>
      </w:tr>
      <w:tr w:rsidR="00516916" w:rsidRPr="0049183D" w14:paraId="2732D8B1" w14:textId="77777777" w:rsidTr="009E1DB7">
        <w:trPr>
          <w:trHeight w:val="117"/>
        </w:trPr>
        <w:tc>
          <w:tcPr>
            <w:tcW w:w="4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  <w:gridSpan w:val="2"/>
          </w:tcPr>
          <w:p w14:paraId="4D4A9CC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516916" w:rsidRPr="00203EC4" w14:paraId="355E000C" w14:textId="77777777" w:rsidTr="009E1DB7">
        <w:trPr>
          <w:trHeight w:val="41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E90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 w:rsidRPr="00203EC4">
              <w:rPr>
                <w:rFonts w:asciiTheme="minorHAnsi" w:hAnsiTheme="minorHAnsi" w:cstheme="minorHAnsi"/>
                <w:lang w:val="de-DE"/>
              </w:rPr>
              <w:t>Znanje in razumevanje:</w:t>
            </w:r>
          </w:p>
          <w:p w14:paraId="4BEB4053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>Študent pozna metode in tehnike, ki se uporabljajo pri nabavi in storitvah za stranke.</w:t>
            </w:r>
          </w:p>
          <w:p w14:paraId="1B0F8D4A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lastRenderedPageBreak/>
              <w:t>Študent pozna glavne cilje nabave in storitev za stranke.</w:t>
            </w:r>
          </w:p>
          <w:p w14:paraId="3EAC2141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>Študent pozna odnose med podjetji v oskrbovalni verigi.</w:t>
            </w:r>
          </w:p>
          <w:p w14:paraId="6C849E7E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 xml:space="preserve">Študent razume vlogo upravljanja nabave in oskrbe v kontekstu oskrbovalne verige. </w:t>
            </w:r>
          </w:p>
          <w:p w14:paraId="36C1267C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>Študent razume vodenje ponudbe in razvoj strategije, vključno z vrstami strategij dobave.</w:t>
            </w:r>
          </w:p>
          <w:p w14:paraId="2AEE2D4D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>Študent razume analizo in klasifikacijo naročil.</w:t>
            </w:r>
          </w:p>
          <w:p w14:paraId="0E4CBD0A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>Študent razume vpliv učinkovitih storitev za stranke, ključne vidike in odgovornosti zaposlenih v procesu povračila strankam.</w:t>
            </w:r>
          </w:p>
          <w:p w14:paraId="30FCE8D9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>Študent razume ključne meritve, uporabljene pri funkcijah za povračilo kupcev.</w:t>
            </w:r>
          </w:p>
          <w:p w14:paraId="717D99DB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>Študenti razumejo ključne koncepte in prakse pri upravljanju odnosov s strankami.</w:t>
            </w:r>
          </w:p>
          <w:p w14:paraId="1F3B6C16" w14:textId="77777777" w:rsidR="00516916" w:rsidRPr="00203EC4" w:rsidRDefault="00516916" w:rsidP="00203EC4">
            <w:pPr>
              <w:spacing w:after="0"/>
              <w:rPr>
                <w:rFonts w:asciiTheme="minorHAnsi" w:hAnsi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>Študent razume koncept trajnostne potrošnje.</w:t>
            </w:r>
          </w:p>
          <w:p w14:paraId="582116BE" w14:textId="77777777" w:rsidR="00516916" w:rsidRPr="00203EC4" w:rsidRDefault="00516916" w:rsidP="00203EC4">
            <w:pPr>
              <w:spacing w:after="0"/>
              <w:rPr>
                <w:rFonts w:asciiTheme="minorHAnsi" w:hAnsiTheme="minorHAnsi"/>
                <w:b/>
                <w:lang w:val="pl-PL"/>
              </w:rPr>
            </w:pPr>
          </w:p>
          <w:p w14:paraId="7E39ABC2" w14:textId="2275AFAB" w:rsidR="00516916" w:rsidRPr="00203EC4" w:rsidRDefault="00516916" w:rsidP="00203EC4">
            <w:pPr>
              <w:spacing w:after="0"/>
              <w:rPr>
                <w:rFonts w:asciiTheme="minorHAnsi" w:hAnsiTheme="minorHAnsi"/>
                <w:b/>
                <w:lang w:val="pl-PL"/>
              </w:rPr>
            </w:pPr>
          </w:p>
          <w:p w14:paraId="17E0FD74" w14:textId="6E9CAE9D" w:rsidR="00203EC4" w:rsidRPr="00203EC4" w:rsidRDefault="00203EC4" w:rsidP="00203EC4">
            <w:pPr>
              <w:spacing w:after="0"/>
              <w:rPr>
                <w:rFonts w:asciiTheme="minorHAnsi" w:hAnsiTheme="minorHAnsi"/>
                <w:b/>
                <w:lang w:val="pl-PL"/>
              </w:rPr>
            </w:pPr>
          </w:p>
          <w:p w14:paraId="6B361071" w14:textId="3D90DE9D" w:rsidR="00203EC4" w:rsidRPr="00203EC4" w:rsidRDefault="00203EC4" w:rsidP="00203EC4">
            <w:pPr>
              <w:spacing w:after="0"/>
              <w:rPr>
                <w:rFonts w:asciiTheme="minorHAnsi" w:hAnsiTheme="minorHAnsi"/>
                <w:b/>
                <w:lang w:val="pl-PL"/>
              </w:rPr>
            </w:pPr>
          </w:p>
          <w:p w14:paraId="44FC1A73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Prenesljive/ključne spretnosti in drugi atributi:</w:t>
            </w:r>
          </w:p>
          <w:p w14:paraId="168F8991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Študent je sposoben izboljšati nabavne in uporabniške storitve z uporabo informacijskih sistemov.</w:t>
            </w:r>
          </w:p>
          <w:p w14:paraId="1B9D46B6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Študent zna uporabiti standarde za reševanje problemov pri nabavi in storitvah za stranke.</w:t>
            </w:r>
          </w:p>
          <w:p w14:paraId="7BAE6F15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Študent pozna logistično terminologijo in lahko komunicira s partnerji o oskrbovalni verigi (tudi v tujih jezikih).</w:t>
            </w:r>
          </w:p>
          <w:p w14:paraId="6DE876F5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Študent je sposoben oceniti trge dobave.</w:t>
            </w:r>
          </w:p>
          <w:p w14:paraId="0A287870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Študent zna razviti strategijo pridobivanja, izvajanja in institucionalizacije.</w:t>
            </w:r>
          </w:p>
          <w:p w14:paraId="4DA115A9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Študent zna izbrati najustreznejšo strategijo nabave za določeno storitev.</w:t>
            </w:r>
          </w:p>
          <w:p w14:paraId="37C8DE58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Študent zna prepoznati načine merjenja storitvenih zmogljivosti.</w:t>
            </w:r>
          </w:p>
          <w:p w14:paraId="3006A9AA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Študent zna identificirati ključne korake v življenjskem ciklusu kupca.</w:t>
            </w:r>
          </w:p>
          <w:p w14:paraId="7ED6B17E" w14:textId="0AA7B47B" w:rsidR="00516916" w:rsidRPr="00203EC4" w:rsidRDefault="00516916" w:rsidP="00203EC4">
            <w:pPr>
              <w:spacing w:after="0"/>
              <w:rPr>
                <w:rFonts w:asciiTheme="minorHAnsi" w:hAnsiTheme="minorHAnsi"/>
                <w:b/>
                <w:lang w:val="pl-PL"/>
              </w:rPr>
            </w:pPr>
            <w:r w:rsidRPr="00203EC4">
              <w:rPr>
                <w:rFonts w:asciiTheme="minorHAnsi" w:hAnsiTheme="minorHAnsi" w:cstheme="minorHAnsi"/>
                <w:lang w:val="it-IT"/>
              </w:rPr>
              <w:t>Študent upošteva regulativne zahteve pri storitvah za stranke.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9909D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436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Knowledge and Understanding:</w:t>
            </w:r>
          </w:p>
          <w:p w14:paraId="54B0B0E4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has a knowledge about methods and techniques used in sourcing and customer service.</w:t>
            </w:r>
          </w:p>
          <w:p w14:paraId="197EFA4A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lastRenderedPageBreak/>
              <w:t>Student knows main aims of sourcing and customer service.</w:t>
            </w:r>
          </w:p>
          <w:p w14:paraId="3754AC18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knows about relationships between companies in supply chain.</w:t>
            </w:r>
          </w:p>
          <w:p w14:paraId="465AEBEF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 xml:space="preserve">Student understands the role of procurement and supply management in a supply chain context. </w:t>
            </w:r>
          </w:p>
          <w:p w14:paraId="291A1A26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understands supply management and strategy development, including types of supply strategies.</w:t>
            </w:r>
          </w:p>
          <w:p w14:paraId="6969F3FA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understands procurement analysis and classification.</w:t>
            </w:r>
          </w:p>
          <w:p w14:paraId="20C1A54C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understands the impact of effective customer service, key aspects of, and employee responsibilities in, the customer return process.</w:t>
            </w:r>
          </w:p>
          <w:p w14:paraId="3FEF2888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understands key metrics used in customer returns functions.</w:t>
            </w:r>
          </w:p>
          <w:p w14:paraId="54F2ADAA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understands key concepts and practices in customer relationship management.</w:t>
            </w:r>
          </w:p>
          <w:p w14:paraId="14E74C74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pl-PL"/>
              </w:rPr>
              <w:t>Student understands concept of sustainable consumption.</w:t>
            </w:r>
          </w:p>
          <w:p w14:paraId="69F48DBA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/>
                <w:lang w:val="en-GB"/>
              </w:rPr>
            </w:pPr>
          </w:p>
          <w:p w14:paraId="541828A4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Transferable/Key Skills and other attributes:</w:t>
            </w:r>
          </w:p>
          <w:p w14:paraId="3DDBEEF9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is able to improve sourcing and customer service with using IT systems.</w:t>
            </w:r>
          </w:p>
          <w:p w14:paraId="396BA6AA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can use standards to solve problems in sourcing and customer service.</w:t>
            </w:r>
          </w:p>
          <w:p w14:paraId="71E5AA49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knows special (logistics) terminology and can communicate with partners in the supply chain (also in foreign languages).</w:t>
            </w:r>
          </w:p>
          <w:p w14:paraId="12C2AD41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is capable to assess supply markets.</w:t>
            </w:r>
          </w:p>
          <w:p w14:paraId="517D5E78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is capable to develop a sourcing strategy, implementing and institutionalizing it.</w:t>
            </w:r>
          </w:p>
          <w:p w14:paraId="519E02DA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can select the most appropriate sourcing strategy for a given service.</w:t>
            </w:r>
          </w:p>
          <w:p w14:paraId="35E03632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can recognize how the service performances are measured.</w:t>
            </w:r>
          </w:p>
          <w:p w14:paraId="758BDD33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can identify key steps in the customer life cycle.</w:t>
            </w:r>
          </w:p>
          <w:p w14:paraId="11B1E0D8" w14:textId="77777777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03EC4">
              <w:rPr>
                <w:rFonts w:asciiTheme="minorHAnsi" w:hAnsiTheme="minorHAnsi" w:cstheme="minorHAnsi"/>
                <w:lang w:val="en-GB"/>
              </w:rPr>
              <w:t>Student recognizes regulatory concerns in customer service operations.</w:t>
            </w:r>
          </w:p>
          <w:p w14:paraId="11144B59" w14:textId="6B4710AA" w:rsidR="00516916" w:rsidRPr="00203EC4" w:rsidRDefault="00516916" w:rsidP="00203EC4">
            <w:pPr>
              <w:spacing w:after="0"/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516916" w:rsidRPr="0049183D" w14:paraId="28C61BBA" w14:textId="77777777" w:rsidTr="009E1DB7">
        <w:tc>
          <w:tcPr>
            <w:tcW w:w="47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9B87AA" w14:textId="4EA099A0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  <w:gridSpan w:val="2"/>
          </w:tcPr>
          <w:p w14:paraId="47B947C4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203EC4" w:rsidRPr="0052326B" w14:paraId="4C66F302" w14:textId="77777777" w:rsidTr="009E1DB7">
        <w:trPr>
          <w:trHeight w:val="2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B10" w14:textId="77777777" w:rsidR="00203EC4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0F0C">
              <w:rPr>
                <w:rFonts w:asciiTheme="minorHAnsi" w:hAnsiTheme="minorHAnsi" w:cstheme="minorHAnsi"/>
                <w:bCs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3AB09F71" w14:textId="77777777" w:rsidR="00203EC4" w:rsidRPr="000D0F0C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A339AFB" w14:textId="24E18898" w:rsidR="00203EC4" w:rsidRPr="0052326B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0F0C">
              <w:rPr>
                <w:rFonts w:asciiTheme="minorHAnsi" w:hAnsiTheme="minorHAnsi" w:cstheme="minorHAnsi"/>
                <w:bCs/>
              </w:rPr>
              <w:lastRenderedPageBreak/>
              <w:t xml:space="preserve">Vaje: pri vajah študent utrdi teoretično znanje in spozna aplikativne možnosti. Del vaj </w:t>
            </w:r>
            <w:r w:rsidRPr="002B1212">
              <w:rPr>
                <w:rFonts w:asciiTheme="minorHAnsi" w:hAnsiTheme="minorHAnsi" w:cstheme="minorHAnsi"/>
                <w:bCs/>
              </w:rPr>
              <w:t xml:space="preserve">se izvaja na klasični način v predavalnici, del pa v obliki e-vaj (e-vaje se lahko izvajajo na videokonferenčni način </w:t>
            </w:r>
            <w:r w:rsidRPr="000D0F0C">
              <w:rPr>
                <w:rFonts w:asciiTheme="minorHAnsi" w:hAnsiTheme="minorHAnsi" w:cstheme="minorHAnsi"/>
                <w:bCs/>
              </w:rPr>
              <w:t>ali s pomočjo posebej v ta namen didaktično pripravljenih e-gradiv v virtualnem elektronskem učnem okolju).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203EC4" w:rsidRPr="0052326B" w:rsidRDefault="00203EC4" w:rsidP="00203EC4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D1E" w14:textId="77777777" w:rsidR="00203EC4" w:rsidRPr="00725190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25190">
              <w:rPr>
                <w:rFonts w:asciiTheme="minorHAnsi" w:hAnsiTheme="minorHAnsi" w:cstheme="minorHAnsi"/>
                <w:bCs/>
                <w:lang w:val="en-GB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</w:t>
            </w:r>
            <w:r>
              <w:rPr>
                <w:rFonts w:asciiTheme="minorHAnsi" w:hAnsiTheme="minorHAnsi" w:cstheme="minorHAnsi"/>
                <w:bCs/>
                <w:lang w:val="en-GB"/>
              </w:rPr>
              <w:t>.</w:t>
            </w:r>
            <w:r w:rsidRPr="00725190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  <w:p w14:paraId="1A614029" w14:textId="77777777" w:rsidR="00203EC4" w:rsidRPr="00725190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16E78F08" w14:textId="1FE72CD4" w:rsidR="00203EC4" w:rsidRPr="0052326B" w:rsidRDefault="00203EC4" w:rsidP="00203EC4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25190">
              <w:rPr>
                <w:rFonts w:asciiTheme="minorHAnsi" w:hAnsiTheme="minorHAnsi" w:cstheme="minorHAnsi"/>
                <w:bCs/>
                <w:lang w:val="en-GB"/>
              </w:rPr>
              <w:lastRenderedPageBreak/>
              <w:t xml:space="preserve"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 </w:t>
            </w:r>
          </w:p>
        </w:tc>
      </w:tr>
    </w:tbl>
    <w:p w14:paraId="1CF85A84" w14:textId="72949292" w:rsidR="0052326B" w:rsidRDefault="0052326B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1560"/>
        <w:gridCol w:w="4117"/>
      </w:tblGrid>
      <w:tr w:rsidR="0052326B" w:rsidRPr="0049183D" w14:paraId="0566443A" w14:textId="77777777" w:rsidTr="009E1DB7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5C40B" w14:textId="4A43D909" w:rsidR="0052326B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9918D47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4BC67B01" w:rsidR="0052326B" w:rsidRPr="0049183D" w:rsidRDefault="0052326B" w:rsidP="0052326B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4BDE0" w14:textId="0D611A5E" w:rsidR="0052326B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D97D149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2326B" w:rsidRPr="00F315AC" w14:paraId="52B92BAD" w14:textId="77777777" w:rsidTr="009E1DB7">
        <w:trPr>
          <w:trHeight w:val="5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8CA" w14:textId="55A80093" w:rsidR="00203EC4" w:rsidRDefault="00203EC4" w:rsidP="00203EC4">
            <w:pPr>
              <w:spacing w:after="0"/>
              <w:jc w:val="both"/>
              <w:rPr>
                <w:rFonts w:cs="Calibri"/>
                <w:bCs/>
              </w:rPr>
            </w:pPr>
            <w:r w:rsidRPr="002B1212">
              <w:rPr>
                <w:rFonts w:cs="Calibri"/>
                <w:bCs/>
              </w:rPr>
              <w:t>Opravljene obveznosti e-predavanj in e-vaj so pogoj za pristop k izpitu.</w:t>
            </w:r>
          </w:p>
          <w:p w14:paraId="292AF33A" w14:textId="77777777" w:rsidR="00203EC4" w:rsidRPr="002B1212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5A8FB91" w14:textId="77777777" w:rsidR="00203EC4" w:rsidRPr="002B1212" w:rsidRDefault="00203EC4" w:rsidP="00203EC4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Opravljen seminar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EC798A9" w14:textId="77777777" w:rsidR="00203EC4" w:rsidRPr="002B1212" w:rsidRDefault="00203EC4" w:rsidP="00203EC4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Pisni izpit.</w:t>
            </w:r>
          </w:p>
          <w:p w14:paraId="73D37E4C" w14:textId="1A383A9A" w:rsidR="0052326B" w:rsidRPr="0052326B" w:rsidRDefault="00203EC4" w:rsidP="00203EC4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 xml:space="preserve">Ustni izpit </w:t>
            </w:r>
            <w:r>
              <w:rPr>
                <w:rFonts w:asciiTheme="minorHAnsi" w:hAnsiTheme="minorHAnsi" w:cstheme="minorHAnsi"/>
                <w:lang w:val="en-GB"/>
              </w:rPr>
              <w:t>in sodelovanje.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EBF" w14:textId="77777777" w:rsidR="0052326B" w:rsidRDefault="0052326B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11F8336" w14:textId="77777777" w:rsidR="00203EC4" w:rsidRDefault="00203EC4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5B5B2D64" w14:textId="77777777" w:rsidR="00203EC4" w:rsidRDefault="00203EC4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350A6849" w14:textId="77777777" w:rsidR="00203EC4" w:rsidRDefault="00203EC4" w:rsidP="00203EC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30%</w:t>
            </w:r>
          </w:p>
          <w:p w14:paraId="709C887D" w14:textId="77777777" w:rsidR="00203EC4" w:rsidRDefault="00203EC4" w:rsidP="00203EC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50%</w:t>
            </w:r>
          </w:p>
          <w:p w14:paraId="6252E3BC" w14:textId="235AFE42" w:rsidR="00203EC4" w:rsidRPr="00F315AC" w:rsidRDefault="00203EC4" w:rsidP="00203EC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20%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4D2" w14:textId="77777777" w:rsidR="00203EC4" w:rsidRPr="002B1212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cs="Calibri"/>
                <w:bCs/>
              </w:rPr>
              <w:t>Successful completion of e-lectures and e-tutorials is a prerequisite for entering the exam.</w:t>
            </w:r>
          </w:p>
          <w:p w14:paraId="7D514B27" w14:textId="77777777" w:rsidR="00203EC4" w:rsidRPr="002B1212" w:rsidRDefault="00203EC4" w:rsidP="00203EC4">
            <w:pPr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Coursework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32BD0038" w14:textId="77777777" w:rsidR="00203EC4" w:rsidRPr="002B1212" w:rsidRDefault="00203EC4" w:rsidP="00203EC4">
            <w:pPr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Written examination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20F78515" w14:textId="17BE314C" w:rsidR="0052326B" w:rsidRPr="009E6B4A" w:rsidRDefault="00203EC4" w:rsidP="00203EC4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Oral examination</w:t>
            </w:r>
            <w:r>
              <w:rPr>
                <w:rFonts w:asciiTheme="minorHAnsi" w:hAnsiTheme="minorHAnsi" w:cstheme="minorHAnsi"/>
                <w:lang w:val="en-GB"/>
              </w:rPr>
              <w:t xml:space="preserve"> and cooperation.</w:t>
            </w:r>
          </w:p>
        </w:tc>
      </w:tr>
    </w:tbl>
    <w:p w14:paraId="1C9E1879" w14:textId="702E0086" w:rsidR="005A11E4" w:rsidRPr="0049183D" w:rsidRDefault="005A11E4" w:rsidP="00A57D74">
      <w:pPr>
        <w:spacing w:after="160" w:line="259" w:lineRule="auto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882A11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203EC4" w:rsidRPr="008222B6" w14:paraId="7CA3B049" w14:textId="77777777" w:rsidTr="00AE11AF">
        <w:trPr>
          <w:trHeight w:val="20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4E6" w14:textId="55667C33" w:rsidR="00203EC4" w:rsidRPr="006F4E9D" w:rsidRDefault="00203EC4" w:rsidP="00203EC4">
            <w:pPr>
              <w:pStyle w:val="Navadensple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KNEZ, Matjaž, OBRECHT, Matevž. Policies for promotion of electric vehicles and factors influencing consumers' purchasing decisions of low emission vehicles. </w:t>
            </w:r>
            <w:r w:rsidRPr="006F4E9D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Journal of sustainable development of energy, water and environment systems</w:t>
            </w: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1848-9257, 2017, vol. 5, iss. 2, str. 151-162.</w:t>
            </w:r>
          </w:p>
          <w:p w14:paraId="0BD931BB" w14:textId="20871D8F" w:rsidR="00203EC4" w:rsidRPr="006F4E9D" w:rsidRDefault="00203EC4" w:rsidP="00203EC4">
            <w:pPr>
              <w:pStyle w:val="Navadensple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KNEZ, Matjaž, JEREB, Borut, OBRECHT, Matevž. Factors influencing the purchasing decisions of low emission cars : a study of Slovenia. </w:t>
            </w:r>
            <w:r w:rsidRPr="006F4E9D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Transportation research. Part D, Transport and environment</w:t>
            </w: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1361-9209. [Print ed.], July 2014, vol. 30, str. 53-61.</w:t>
            </w:r>
          </w:p>
          <w:p w14:paraId="265592ED" w14:textId="3E5040CB" w:rsidR="00203EC4" w:rsidRPr="006F4E9D" w:rsidRDefault="00203EC4" w:rsidP="00203EC4">
            <w:pPr>
              <w:pStyle w:val="Navadensple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BRATINA, Tadej, OBRECHT, Matevž. V spletni prodaji oblačil zelo visok delež vračil. </w:t>
            </w:r>
            <w:r w:rsidRPr="006F4E9D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Embalaža, okolje, logistika : strokovna specializirana revija za embalažo, okolje in logistiko</w:t>
            </w: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1855-4849, apr. 2017, [Št.] 117, str. 54-55.</w:t>
            </w:r>
          </w:p>
          <w:p w14:paraId="3BF24638" w14:textId="1E09184A" w:rsidR="00203EC4" w:rsidRPr="006F4E9D" w:rsidRDefault="00203EC4" w:rsidP="00203EC4">
            <w:pPr>
              <w:pStyle w:val="Navadensple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BRATINA, Tadej, ŠINKO, Simona, ŠLAJMER, Vanessa, OBRECHT, Matevž. Ecolabels and ecodesign potential for greening companies supply chains. V: LERHER, Tone (ur.). </w:t>
            </w:r>
            <w:r w:rsidRPr="006F4E9D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Proceedings</w:t>
            </w: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. Celje: Faculty of Logistics. 2018, str. 31-37.</w:t>
            </w:r>
          </w:p>
          <w:p w14:paraId="587CAE0E" w14:textId="1526A557" w:rsidR="00203EC4" w:rsidRPr="006F4E9D" w:rsidRDefault="00203EC4" w:rsidP="00203EC4">
            <w:pPr>
              <w:pStyle w:val="Navadensple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ŠINKO, Simona, ŠIPEK, Gregor, BRATINA, Tadej, GRAČNER, Tadej, MOHORKO, Katja, ŠLAJMER, Vanessa, DENAC, Matjaž, KNEZ, Matjaž, OBRECHT, Matevž. Review of ecolabels : impact on greening the supply chains. V: MLINARIĆ, Tomislav Josip (ur.), et al. </w:t>
            </w:r>
            <w:r w:rsidRPr="006F4E9D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ZIRP 2017 : new solutions and innovations in logistics and transportation</w:t>
            </w:r>
            <w:r w:rsidRPr="006F4E9D">
              <w:rPr>
                <w:rFonts w:asciiTheme="minorHAnsi" w:hAnsiTheme="minorHAnsi" w:cstheme="minorHAnsi"/>
                <w:b w:val="0"/>
                <w:sz w:val="22"/>
                <w:szCs w:val="22"/>
              </w:rPr>
              <w:t>. Zagreb: Fakultet prometnih znanosti. 2017, str. 373-380.</w:t>
            </w:r>
          </w:p>
          <w:p w14:paraId="4A3C0BF6" w14:textId="487EEAA9" w:rsidR="00203EC4" w:rsidRPr="006F4E9D" w:rsidRDefault="00203EC4" w:rsidP="00203EC4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eastAsiaTheme="minorHAnsi" w:hAnsiTheme="minorHAnsi"/>
              </w:rPr>
            </w:pPr>
            <w:r w:rsidRPr="006F4E9D">
              <w:rPr>
                <w:rFonts w:asciiTheme="minorHAnsi" w:hAnsiTheme="minorHAnsi" w:cstheme="minorHAnsi"/>
              </w:rPr>
              <w:t>JEREB, Borut, KNEZ, Matjaž, KUKOVIČ, Darja, CVAHTE OJSTERŠEK, Tina, OBRECHT, Matevž. Green product. V: JEREB, Borut (ur.), et al. </w:t>
            </w:r>
            <w:r w:rsidRPr="006F4E9D">
              <w:rPr>
                <w:rFonts w:asciiTheme="minorHAnsi" w:hAnsiTheme="minorHAnsi" w:cstheme="minorHAnsi"/>
                <w:i/>
                <w:iCs/>
              </w:rPr>
              <w:t>Environmental management &amp; audit : Tempus project Recoaud. 1, Scarcity &amp; introduction to environmental management</w:t>
            </w:r>
            <w:r w:rsidRPr="006F4E9D">
              <w:rPr>
                <w:rFonts w:asciiTheme="minorHAnsi" w:hAnsiTheme="minorHAnsi" w:cstheme="minorHAnsi"/>
              </w:rPr>
              <w:t>. 1st electronic ed. Czestochowa [etc.]: SPH - Scientific Publishing Hub. 2016, str. 43-50.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CD7D" w14:textId="77777777" w:rsidR="00A101D8" w:rsidRDefault="00A101D8" w:rsidP="00703ADE">
      <w:pPr>
        <w:spacing w:after="0"/>
      </w:pPr>
      <w:r>
        <w:separator/>
      </w:r>
    </w:p>
  </w:endnote>
  <w:endnote w:type="continuationSeparator" w:id="0">
    <w:p w14:paraId="5BF745D9" w14:textId="77777777" w:rsidR="00A101D8" w:rsidRDefault="00A101D8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5CBD13AA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12D12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12D12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8EBF" w14:textId="77777777" w:rsidR="00A101D8" w:rsidRDefault="00A101D8" w:rsidP="00703ADE">
      <w:pPr>
        <w:spacing w:after="0"/>
      </w:pPr>
      <w:r>
        <w:separator/>
      </w:r>
    </w:p>
  </w:footnote>
  <w:footnote w:type="continuationSeparator" w:id="0">
    <w:p w14:paraId="5D8798C6" w14:textId="77777777" w:rsidR="00A101D8" w:rsidRDefault="00A101D8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D8D"/>
    <w:multiLevelType w:val="hybridMultilevel"/>
    <w:tmpl w:val="A6103458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5C47"/>
    <w:multiLevelType w:val="hybridMultilevel"/>
    <w:tmpl w:val="C20CC12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63688"/>
    <w:multiLevelType w:val="hybridMultilevel"/>
    <w:tmpl w:val="E0D4AFF0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C3DD5"/>
    <w:multiLevelType w:val="hybridMultilevel"/>
    <w:tmpl w:val="7226A22C"/>
    <w:lvl w:ilvl="0" w:tplc="57F83F72">
      <w:start w:val="3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B26F6"/>
    <w:multiLevelType w:val="hybridMultilevel"/>
    <w:tmpl w:val="87EE5BB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1FA60BF"/>
    <w:multiLevelType w:val="hybridMultilevel"/>
    <w:tmpl w:val="D4C6298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B4D9F"/>
    <w:multiLevelType w:val="hybridMultilevel"/>
    <w:tmpl w:val="70EEF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3EDA"/>
    <w:multiLevelType w:val="hybridMultilevel"/>
    <w:tmpl w:val="A45E1B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81559"/>
    <w:multiLevelType w:val="hybridMultilevel"/>
    <w:tmpl w:val="0280461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1106D"/>
    <w:multiLevelType w:val="hybridMultilevel"/>
    <w:tmpl w:val="9542946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7668D"/>
    <w:multiLevelType w:val="hybridMultilevel"/>
    <w:tmpl w:val="C3A653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93CB1"/>
    <w:multiLevelType w:val="hybridMultilevel"/>
    <w:tmpl w:val="2796229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A1377"/>
    <w:multiLevelType w:val="hybridMultilevel"/>
    <w:tmpl w:val="E6F6EB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B990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C28F7"/>
    <w:multiLevelType w:val="hybridMultilevel"/>
    <w:tmpl w:val="F4365A3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70FD5"/>
    <w:multiLevelType w:val="hybridMultilevel"/>
    <w:tmpl w:val="C07CE2A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93CC9"/>
    <w:multiLevelType w:val="hybridMultilevel"/>
    <w:tmpl w:val="5D8C5550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D4FE7"/>
    <w:multiLevelType w:val="hybridMultilevel"/>
    <w:tmpl w:val="19367952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827B7"/>
    <w:multiLevelType w:val="hybridMultilevel"/>
    <w:tmpl w:val="3912E9A8"/>
    <w:lvl w:ilvl="0" w:tplc="952EA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5106C"/>
    <w:multiLevelType w:val="hybridMultilevel"/>
    <w:tmpl w:val="9718216C"/>
    <w:lvl w:ilvl="0" w:tplc="9F24D3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66986"/>
    <w:multiLevelType w:val="hybridMultilevel"/>
    <w:tmpl w:val="06589E2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0E791D"/>
    <w:multiLevelType w:val="hybridMultilevel"/>
    <w:tmpl w:val="56EE79EA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BB620F"/>
    <w:multiLevelType w:val="multilevel"/>
    <w:tmpl w:val="2688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8197A"/>
    <w:multiLevelType w:val="hybridMultilevel"/>
    <w:tmpl w:val="737AA41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F33"/>
    <w:multiLevelType w:val="hybridMultilevel"/>
    <w:tmpl w:val="98E40EE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C05C4"/>
    <w:multiLevelType w:val="hybridMultilevel"/>
    <w:tmpl w:val="B044A3C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200FF7"/>
    <w:multiLevelType w:val="hybridMultilevel"/>
    <w:tmpl w:val="022223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80838"/>
    <w:multiLevelType w:val="hybridMultilevel"/>
    <w:tmpl w:val="8DE04EE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52231"/>
    <w:multiLevelType w:val="hybridMultilevel"/>
    <w:tmpl w:val="8E98D88C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5"/>
  </w:num>
  <w:num w:numId="5">
    <w:abstractNumId w:val="2"/>
  </w:num>
  <w:num w:numId="6">
    <w:abstractNumId w:val="22"/>
  </w:num>
  <w:num w:numId="7">
    <w:abstractNumId w:val="12"/>
  </w:num>
  <w:num w:numId="8">
    <w:abstractNumId w:val="3"/>
  </w:num>
  <w:num w:numId="9">
    <w:abstractNumId w:val="4"/>
  </w:num>
  <w:num w:numId="10">
    <w:abstractNumId w:val="24"/>
  </w:num>
  <w:num w:numId="11">
    <w:abstractNumId w:val="8"/>
  </w:num>
  <w:num w:numId="12">
    <w:abstractNumId w:val="6"/>
  </w:num>
  <w:num w:numId="13">
    <w:abstractNumId w:val="19"/>
  </w:num>
  <w:num w:numId="14">
    <w:abstractNumId w:val="26"/>
  </w:num>
  <w:num w:numId="15">
    <w:abstractNumId w:val="15"/>
  </w:num>
  <w:num w:numId="16">
    <w:abstractNumId w:val="11"/>
  </w:num>
  <w:num w:numId="17">
    <w:abstractNumId w:val="0"/>
  </w:num>
  <w:num w:numId="18">
    <w:abstractNumId w:val="10"/>
  </w:num>
  <w:num w:numId="19">
    <w:abstractNumId w:val="1"/>
  </w:num>
  <w:num w:numId="20">
    <w:abstractNumId w:val="13"/>
  </w:num>
  <w:num w:numId="21">
    <w:abstractNumId w:val="29"/>
  </w:num>
  <w:num w:numId="22">
    <w:abstractNumId w:val="25"/>
  </w:num>
  <w:num w:numId="23">
    <w:abstractNumId w:val="14"/>
  </w:num>
  <w:num w:numId="24">
    <w:abstractNumId w:val="21"/>
  </w:num>
  <w:num w:numId="25">
    <w:abstractNumId w:val="16"/>
  </w:num>
  <w:num w:numId="26">
    <w:abstractNumId w:val="20"/>
  </w:num>
  <w:num w:numId="27">
    <w:abstractNumId w:val="18"/>
  </w:num>
  <w:num w:numId="28">
    <w:abstractNumId w:val="7"/>
  </w:num>
  <w:num w:numId="29">
    <w:abstractNumId w:val="17"/>
  </w:num>
  <w:num w:numId="30">
    <w:abstractNumId w:val="30"/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2009C"/>
    <w:rsid w:val="00046B40"/>
    <w:rsid w:val="00053C25"/>
    <w:rsid w:val="000625CC"/>
    <w:rsid w:val="00067866"/>
    <w:rsid w:val="000703F7"/>
    <w:rsid w:val="00072F0F"/>
    <w:rsid w:val="000761B7"/>
    <w:rsid w:val="0009073D"/>
    <w:rsid w:val="00090D1C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0F79B6"/>
    <w:rsid w:val="001011C0"/>
    <w:rsid w:val="00102023"/>
    <w:rsid w:val="00103E49"/>
    <w:rsid w:val="0010411B"/>
    <w:rsid w:val="001101ED"/>
    <w:rsid w:val="001213B9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2F25"/>
    <w:rsid w:val="001C4698"/>
    <w:rsid w:val="001C55C4"/>
    <w:rsid w:val="001C65D2"/>
    <w:rsid w:val="001E2942"/>
    <w:rsid w:val="001E46A5"/>
    <w:rsid w:val="001E5BFE"/>
    <w:rsid w:val="001F39D3"/>
    <w:rsid w:val="001F3A75"/>
    <w:rsid w:val="001F3E26"/>
    <w:rsid w:val="001F7FE8"/>
    <w:rsid w:val="00203EC4"/>
    <w:rsid w:val="00205467"/>
    <w:rsid w:val="0021144D"/>
    <w:rsid w:val="00216CD3"/>
    <w:rsid w:val="00217CEC"/>
    <w:rsid w:val="0022024F"/>
    <w:rsid w:val="002235E2"/>
    <w:rsid w:val="00223EAB"/>
    <w:rsid w:val="0023759A"/>
    <w:rsid w:val="00243C6A"/>
    <w:rsid w:val="00250591"/>
    <w:rsid w:val="00252DF2"/>
    <w:rsid w:val="002548DB"/>
    <w:rsid w:val="00273DDF"/>
    <w:rsid w:val="00276596"/>
    <w:rsid w:val="0027778B"/>
    <w:rsid w:val="002805E7"/>
    <w:rsid w:val="0028075A"/>
    <w:rsid w:val="00292898"/>
    <w:rsid w:val="00294872"/>
    <w:rsid w:val="002B19A5"/>
    <w:rsid w:val="002B452B"/>
    <w:rsid w:val="002B668D"/>
    <w:rsid w:val="002C2E5E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34FD5"/>
    <w:rsid w:val="00341880"/>
    <w:rsid w:val="003430C7"/>
    <w:rsid w:val="00344834"/>
    <w:rsid w:val="00345FF3"/>
    <w:rsid w:val="003463F9"/>
    <w:rsid w:val="00351624"/>
    <w:rsid w:val="00355781"/>
    <w:rsid w:val="00360075"/>
    <w:rsid w:val="00360354"/>
    <w:rsid w:val="003614F0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10DC6"/>
    <w:rsid w:val="00410DCC"/>
    <w:rsid w:val="004136FD"/>
    <w:rsid w:val="004203B7"/>
    <w:rsid w:val="004246C2"/>
    <w:rsid w:val="00425A8B"/>
    <w:rsid w:val="00425D4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D4BA2"/>
    <w:rsid w:val="004F484B"/>
    <w:rsid w:val="004F4E9E"/>
    <w:rsid w:val="004F5050"/>
    <w:rsid w:val="00500DB6"/>
    <w:rsid w:val="005029C6"/>
    <w:rsid w:val="00512D12"/>
    <w:rsid w:val="00514311"/>
    <w:rsid w:val="00516916"/>
    <w:rsid w:val="0052326B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5638"/>
    <w:rsid w:val="005A57A2"/>
    <w:rsid w:val="005A7A79"/>
    <w:rsid w:val="005B4175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32249"/>
    <w:rsid w:val="0064086A"/>
    <w:rsid w:val="00645458"/>
    <w:rsid w:val="00652A3B"/>
    <w:rsid w:val="00667ED1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D55F8"/>
    <w:rsid w:val="006D5C5A"/>
    <w:rsid w:val="006E1095"/>
    <w:rsid w:val="006E6646"/>
    <w:rsid w:val="006E732F"/>
    <w:rsid w:val="006F2D77"/>
    <w:rsid w:val="006F4A39"/>
    <w:rsid w:val="006F4E9D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6751A"/>
    <w:rsid w:val="0077341A"/>
    <w:rsid w:val="00781C83"/>
    <w:rsid w:val="00784B83"/>
    <w:rsid w:val="00786312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102C2"/>
    <w:rsid w:val="00811D25"/>
    <w:rsid w:val="00811EFC"/>
    <w:rsid w:val="00811FB5"/>
    <w:rsid w:val="008157D7"/>
    <w:rsid w:val="008222B6"/>
    <w:rsid w:val="008320B1"/>
    <w:rsid w:val="00847982"/>
    <w:rsid w:val="00854394"/>
    <w:rsid w:val="0085546F"/>
    <w:rsid w:val="00855585"/>
    <w:rsid w:val="00863826"/>
    <w:rsid w:val="00871EDA"/>
    <w:rsid w:val="00873A16"/>
    <w:rsid w:val="00873F0D"/>
    <w:rsid w:val="00874CA5"/>
    <w:rsid w:val="00882A11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8F6F5C"/>
    <w:rsid w:val="009044E0"/>
    <w:rsid w:val="009060E2"/>
    <w:rsid w:val="00910644"/>
    <w:rsid w:val="009112EA"/>
    <w:rsid w:val="00913A49"/>
    <w:rsid w:val="009222E8"/>
    <w:rsid w:val="009322AD"/>
    <w:rsid w:val="00957F7A"/>
    <w:rsid w:val="00961B35"/>
    <w:rsid w:val="00961C9A"/>
    <w:rsid w:val="00961FCE"/>
    <w:rsid w:val="0096279B"/>
    <w:rsid w:val="00991CF4"/>
    <w:rsid w:val="009958CA"/>
    <w:rsid w:val="009B077A"/>
    <w:rsid w:val="009B26AB"/>
    <w:rsid w:val="009C276B"/>
    <w:rsid w:val="009D11AD"/>
    <w:rsid w:val="009D6D7A"/>
    <w:rsid w:val="009E1DB7"/>
    <w:rsid w:val="009E6B4A"/>
    <w:rsid w:val="009E77B5"/>
    <w:rsid w:val="009E7CBD"/>
    <w:rsid w:val="009F24ED"/>
    <w:rsid w:val="009F37EA"/>
    <w:rsid w:val="009F4070"/>
    <w:rsid w:val="00A000D4"/>
    <w:rsid w:val="00A019CC"/>
    <w:rsid w:val="00A0202D"/>
    <w:rsid w:val="00A101D8"/>
    <w:rsid w:val="00A13321"/>
    <w:rsid w:val="00A25CCF"/>
    <w:rsid w:val="00A340FC"/>
    <w:rsid w:val="00A34B64"/>
    <w:rsid w:val="00A47212"/>
    <w:rsid w:val="00A52D9A"/>
    <w:rsid w:val="00A5557A"/>
    <w:rsid w:val="00A56956"/>
    <w:rsid w:val="00A57D74"/>
    <w:rsid w:val="00A604B1"/>
    <w:rsid w:val="00A722F0"/>
    <w:rsid w:val="00A81452"/>
    <w:rsid w:val="00A87467"/>
    <w:rsid w:val="00A87ADF"/>
    <w:rsid w:val="00A87CC4"/>
    <w:rsid w:val="00A95C47"/>
    <w:rsid w:val="00AC243A"/>
    <w:rsid w:val="00AC457E"/>
    <w:rsid w:val="00AC50D7"/>
    <w:rsid w:val="00AC7DE5"/>
    <w:rsid w:val="00AE11AF"/>
    <w:rsid w:val="00AF382F"/>
    <w:rsid w:val="00B01725"/>
    <w:rsid w:val="00B05658"/>
    <w:rsid w:val="00B07275"/>
    <w:rsid w:val="00B07A68"/>
    <w:rsid w:val="00B22BAA"/>
    <w:rsid w:val="00B32886"/>
    <w:rsid w:val="00B41FC2"/>
    <w:rsid w:val="00B44133"/>
    <w:rsid w:val="00B63298"/>
    <w:rsid w:val="00B63E7C"/>
    <w:rsid w:val="00B70B70"/>
    <w:rsid w:val="00B733D9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E7375"/>
    <w:rsid w:val="00BF0A49"/>
    <w:rsid w:val="00BF5977"/>
    <w:rsid w:val="00BF5A0E"/>
    <w:rsid w:val="00BF7B2D"/>
    <w:rsid w:val="00C06952"/>
    <w:rsid w:val="00C14CED"/>
    <w:rsid w:val="00C23384"/>
    <w:rsid w:val="00C26205"/>
    <w:rsid w:val="00C31227"/>
    <w:rsid w:val="00C35629"/>
    <w:rsid w:val="00C4086F"/>
    <w:rsid w:val="00C63A16"/>
    <w:rsid w:val="00C65B60"/>
    <w:rsid w:val="00C725EC"/>
    <w:rsid w:val="00C72B00"/>
    <w:rsid w:val="00C73CAE"/>
    <w:rsid w:val="00C80F10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5D82"/>
    <w:rsid w:val="00D56DEF"/>
    <w:rsid w:val="00D575DA"/>
    <w:rsid w:val="00D634CF"/>
    <w:rsid w:val="00D656E4"/>
    <w:rsid w:val="00D822FB"/>
    <w:rsid w:val="00D85A1E"/>
    <w:rsid w:val="00D93134"/>
    <w:rsid w:val="00D94920"/>
    <w:rsid w:val="00DB2805"/>
    <w:rsid w:val="00DC294C"/>
    <w:rsid w:val="00DC3652"/>
    <w:rsid w:val="00DD03F7"/>
    <w:rsid w:val="00DF0B31"/>
    <w:rsid w:val="00E03C39"/>
    <w:rsid w:val="00E07DF8"/>
    <w:rsid w:val="00E12B7D"/>
    <w:rsid w:val="00E14D58"/>
    <w:rsid w:val="00E24F2B"/>
    <w:rsid w:val="00E26379"/>
    <w:rsid w:val="00E32D7E"/>
    <w:rsid w:val="00E33A20"/>
    <w:rsid w:val="00E3421E"/>
    <w:rsid w:val="00E3517F"/>
    <w:rsid w:val="00E61420"/>
    <w:rsid w:val="00E61E60"/>
    <w:rsid w:val="00E6704B"/>
    <w:rsid w:val="00E70FEA"/>
    <w:rsid w:val="00E75F25"/>
    <w:rsid w:val="00E76AEB"/>
    <w:rsid w:val="00E84030"/>
    <w:rsid w:val="00E8487A"/>
    <w:rsid w:val="00E856E6"/>
    <w:rsid w:val="00E919CA"/>
    <w:rsid w:val="00E935CE"/>
    <w:rsid w:val="00EA75DA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15AC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9112EA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112E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112EA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112EA"/>
    <w:pPr>
      <w:numPr>
        <w:ilvl w:val="4"/>
        <w:numId w:val="4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112EA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112EA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112EA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112EA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qFormat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  <w:style w:type="paragraph" w:customStyle="1" w:styleId="Odstavekseznama2">
    <w:name w:val="Odstavek seznama2"/>
    <w:basedOn w:val="Navaden"/>
    <w:uiPriority w:val="99"/>
    <w:qFormat/>
    <w:rsid w:val="00F315AC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rsid w:val="00F315AC"/>
    <w:pPr>
      <w:numPr>
        <w:ilvl w:val="1"/>
        <w:numId w:val="2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fn2">
    <w:name w:val="fn2"/>
    <w:basedOn w:val="Privzetapisavaodstavka"/>
    <w:uiPriority w:val="99"/>
    <w:rsid w:val="009112EA"/>
    <w:rPr>
      <w:rFonts w:cs="Times New Roman"/>
    </w:rPr>
  </w:style>
  <w:style w:type="character" w:customStyle="1" w:styleId="Naslov2Znak">
    <w:name w:val="Naslov 2 Znak"/>
    <w:basedOn w:val="Privzetapisavaodstavka"/>
    <w:link w:val="Naslov2"/>
    <w:uiPriority w:val="99"/>
    <w:rsid w:val="009112EA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9112E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9112EA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9112EA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9112EA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9112EA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9112EA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9112EA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st">
    <w:name w:val="st"/>
    <w:basedOn w:val="Privzetapisavaodstavka"/>
    <w:rsid w:val="0052326B"/>
  </w:style>
  <w:style w:type="character" w:styleId="Poudarek">
    <w:name w:val="Emphasis"/>
    <w:basedOn w:val="Privzetapisavaodstavka"/>
    <w:uiPriority w:val="20"/>
    <w:qFormat/>
    <w:rsid w:val="0052326B"/>
    <w:rPr>
      <w:i/>
      <w:iCs/>
    </w:rPr>
  </w:style>
  <w:style w:type="paragraph" w:styleId="Telobesedila-zamik">
    <w:name w:val="Body Text Indent"/>
    <w:basedOn w:val="Navaden"/>
    <w:link w:val="Telobesedila-zamikZnak"/>
    <w:uiPriority w:val="99"/>
    <w:rsid w:val="0052326B"/>
    <w:pPr>
      <w:spacing w:before="120" w:after="0"/>
      <w:ind w:left="720"/>
    </w:pPr>
    <w:rPr>
      <w:rFonts w:ascii="Arial" w:hAnsi="Arial" w:cs="Arial"/>
      <w:b/>
      <w:sz w:val="24"/>
      <w:szCs w:val="20"/>
      <w:lang w:val="en-GB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52326B"/>
    <w:rPr>
      <w:rFonts w:ascii="Arial" w:eastAsia="Times New Roman" w:hAnsi="Arial" w:cs="Arial"/>
      <w:b/>
      <w:sz w:val="24"/>
      <w:szCs w:val="20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E11A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hAnsi="Arial" w:cs="Arial"/>
      <w:bCs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E11AF"/>
    <w:rPr>
      <w:rFonts w:ascii="Arial" w:eastAsia="Times New Roman" w:hAnsi="Arial" w:cs="Arial"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x.doi.org/10.18690/um.fl.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1554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4</cp:revision>
  <cp:lastPrinted>2019-01-30T13:00:00Z</cp:lastPrinted>
  <dcterms:created xsi:type="dcterms:W3CDTF">2024-06-03T09:59:00Z</dcterms:created>
  <dcterms:modified xsi:type="dcterms:W3CDTF">2024-08-22T10:29:00Z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a36e809ac2c62b29a9b21058577b6d9c197a5c81f6ad1db04384eadc5a84bd22</vt:lpwstr>
  </property>
</Properties>
</file>